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2626" w14:textId="3961727F" w:rsidR="00B14AE4" w:rsidRDefault="00490992" w:rsidP="00B14AE4">
      <w:pPr>
        <w:pStyle w:val="TBCTitleBoldCenter"/>
      </w:pPr>
      <w:r>
        <w:t>CHORD ENERGY CORPORATION</w:t>
      </w:r>
      <w:r w:rsidR="00B14AE4">
        <w:br/>
        <w:t>CHARTER OF THE COMPENSATION COMMITTEE</w:t>
      </w:r>
      <w:r w:rsidR="00B14AE4">
        <w:br/>
        <w:t>OF THE BOARD OF DIRECTORS</w:t>
      </w:r>
      <w:r w:rsidR="00B14AE4">
        <w:br/>
        <w:t xml:space="preserve">(Adopted as of </w:t>
      </w:r>
      <w:r>
        <w:t>July 1</w:t>
      </w:r>
      <w:r w:rsidR="002C320D" w:rsidRPr="002C320D">
        <w:rPr>
          <w:b w:val="0"/>
        </w:rPr>
        <w:t>,</w:t>
      </w:r>
      <w:r w:rsidR="00B14AE4">
        <w:t xml:space="preserve"> </w:t>
      </w:r>
      <w:r w:rsidR="00FD4DC0">
        <w:t>2022</w:t>
      </w:r>
      <w:r w:rsidR="00B14AE4">
        <w:t>)</w:t>
      </w:r>
    </w:p>
    <w:p w14:paraId="0B856CFB" w14:textId="5AAA5C11" w:rsidR="00B14AE4" w:rsidRDefault="00B14AE4" w:rsidP="00B14AE4">
      <w:pPr>
        <w:pStyle w:val="BTBodyText"/>
      </w:pPr>
      <w:r>
        <w:t xml:space="preserve">The Board of Directors (the </w:t>
      </w:r>
      <w:r w:rsidR="002C320D" w:rsidRPr="002C320D">
        <w:t>“</w:t>
      </w:r>
      <w:r w:rsidR="002C320D" w:rsidRPr="002C320D">
        <w:rPr>
          <w:u w:val="single"/>
        </w:rPr>
        <w:t>Board</w:t>
      </w:r>
      <w:r w:rsidR="002C320D" w:rsidRPr="002C320D">
        <w:t>”</w:t>
      </w:r>
      <w:r>
        <w:t xml:space="preserve">) of </w:t>
      </w:r>
      <w:r w:rsidR="00490992">
        <w:t>Chord Energy Corporation</w:t>
      </w:r>
      <w:r>
        <w:t xml:space="preserve"> (the </w:t>
      </w:r>
      <w:r w:rsidR="002C320D" w:rsidRPr="002C320D">
        <w:t>“</w:t>
      </w:r>
      <w:r w:rsidR="002C320D" w:rsidRPr="002C320D">
        <w:rPr>
          <w:u w:val="single"/>
        </w:rPr>
        <w:t>Company</w:t>
      </w:r>
      <w:r w:rsidR="002C320D" w:rsidRPr="002C320D">
        <w:t>”</w:t>
      </w:r>
      <w:r>
        <w:t xml:space="preserve">) has established the Compensation Committee of the Board (the </w:t>
      </w:r>
      <w:r w:rsidR="002C320D" w:rsidRPr="002C320D">
        <w:t>“</w:t>
      </w:r>
      <w:r w:rsidR="002C320D" w:rsidRPr="002C320D">
        <w:rPr>
          <w:u w:val="single"/>
        </w:rPr>
        <w:t>Committee</w:t>
      </w:r>
      <w:r w:rsidR="002C320D" w:rsidRPr="002C320D">
        <w:t>”</w:t>
      </w:r>
      <w:r>
        <w:t>) with authority</w:t>
      </w:r>
      <w:r w:rsidR="002C320D" w:rsidRPr="002C320D">
        <w:t>,</w:t>
      </w:r>
      <w:r>
        <w:t xml:space="preserve"> responsibility and specific duties as described in this Compensation Committee Charter (this </w:t>
      </w:r>
      <w:r w:rsidR="002C320D" w:rsidRPr="002C320D">
        <w:t>“</w:t>
      </w:r>
      <w:r w:rsidR="002C320D" w:rsidRPr="002C320D">
        <w:rPr>
          <w:u w:val="single"/>
        </w:rPr>
        <w:t>Charter</w:t>
      </w:r>
      <w:r w:rsidR="002C320D" w:rsidRPr="002C320D">
        <w:t>”</w:t>
      </w:r>
      <w:r>
        <w:t>).</w:t>
      </w:r>
    </w:p>
    <w:p w14:paraId="18B27F40" w14:textId="77777777" w:rsidR="00B14AE4" w:rsidRPr="004C2D50" w:rsidRDefault="00B14AE4" w:rsidP="00B14AE4">
      <w:pPr>
        <w:pStyle w:val="Heading1"/>
        <w:numPr>
          <w:ilvl w:val="0"/>
          <w:numId w:val="7"/>
        </w:numPr>
        <w:rPr>
          <w:rFonts w:cs="Times New Roman"/>
        </w:rPr>
      </w:pPr>
      <w:r>
        <w:t>Purposes</w:t>
      </w:r>
    </w:p>
    <w:p w14:paraId="12C87838" w14:textId="77777777" w:rsidR="00B14AE4" w:rsidRDefault="00B14AE4" w:rsidP="00B14AE4">
      <w:pPr>
        <w:pStyle w:val="BTBodyText"/>
      </w:pPr>
      <w:r>
        <w:t>The purposes of the Committee are to:</w:t>
      </w:r>
    </w:p>
    <w:p w14:paraId="49971311" w14:textId="695E094B" w:rsidR="00FD4DC0" w:rsidRPr="00FD4DC0" w:rsidRDefault="00FD4DC0" w:rsidP="00B14AE4">
      <w:pPr>
        <w:pStyle w:val="Heading2"/>
        <w:numPr>
          <w:ilvl w:val="1"/>
          <w:numId w:val="7"/>
        </w:numPr>
        <w:rPr>
          <w:rFonts w:cs="Times New Roman"/>
        </w:rPr>
      </w:pPr>
      <w:r w:rsidRPr="00FD4DC0">
        <w:rPr>
          <w:rFonts w:cs="Times New Roman"/>
        </w:rPr>
        <w:t>Oversee the Company’s overall compensation philosophy that applies to all Company employees, including with respect to the management and mitigation of compensation-related risks;</w:t>
      </w:r>
    </w:p>
    <w:p w14:paraId="2FB8B823" w14:textId="78ED7B10" w:rsidR="00B14AE4" w:rsidRPr="004C2D50" w:rsidRDefault="00B14AE4" w:rsidP="00B14AE4">
      <w:pPr>
        <w:pStyle w:val="Heading2"/>
        <w:numPr>
          <w:ilvl w:val="1"/>
          <w:numId w:val="7"/>
        </w:numPr>
        <w:rPr>
          <w:rFonts w:cs="Times New Roman"/>
        </w:rPr>
      </w:pPr>
      <w:r>
        <w:t>Review</w:t>
      </w:r>
      <w:r w:rsidR="002C320D" w:rsidRPr="002C320D">
        <w:t>,</w:t>
      </w:r>
      <w:r>
        <w:t xml:space="preserve"> evaluate and approve the agreements</w:t>
      </w:r>
      <w:r w:rsidR="002C320D" w:rsidRPr="002C320D">
        <w:t>,</w:t>
      </w:r>
      <w:r>
        <w:t xml:space="preserve"> plans</w:t>
      </w:r>
      <w:r w:rsidR="002C320D" w:rsidRPr="002C320D">
        <w:t>,</w:t>
      </w:r>
      <w:r>
        <w:t xml:space="preserve"> policies and programs of the Company to compensate the Company’s corporate officers and directors;</w:t>
      </w:r>
    </w:p>
    <w:p w14:paraId="5C7CEE9B" w14:textId="3CFE2A6D" w:rsidR="00B14AE4" w:rsidRPr="00FD4DC0" w:rsidRDefault="00B14AE4" w:rsidP="00B14AE4">
      <w:pPr>
        <w:pStyle w:val="Heading2"/>
        <w:numPr>
          <w:ilvl w:val="1"/>
          <w:numId w:val="7"/>
        </w:numPr>
        <w:rPr>
          <w:rFonts w:cs="Times New Roman"/>
        </w:rPr>
      </w:pPr>
      <w:r>
        <w:t>Oversee the Company’s agreements</w:t>
      </w:r>
      <w:r w:rsidR="002C320D" w:rsidRPr="002C320D">
        <w:t>,</w:t>
      </w:r>
      <w:r>
        <w:t xml:space="preserve"> plans</w:t>
      </w:r>
      <w:r w:rsidR="002C320D" w:rsidRPr="002C320D">
        <w:t>,</w:t>
      </w:r>
      <w:r>
        <w:t xml:space="preserve"> policies and programs to compensate the Company’s employees other than corporate officers;</w:t>
      </w:r>
    </w:p>
    <w:p w14:paraId="7DAE7AA6" w14:textId="6B6326F5" w:rsidR="00FD4DC0" w:rsidRPr="00FD4DC0" w:rsidRDefault="00FD4DC0" w:rsidP="00FD4DC0">
      <w:pPr>
        <w:pStyle w:val="Heading2"/>
        <w:rPr>
          <w:rFonts w:cs="Times New Roman"/>
        </w:rPr>
      </w:pPr>
      <w:r w:rsidRPr="00FD4DC0">
        <w:rPr>
          <w:rFonts w:cs="Times New Roman"/>
        </w:rPr>
        <w:t>Otherwise discharge the Board’s responsibilities relating to compensation of the</w:t>
      </w:r>
      <w:r>
        <w:rPr>
          <w:rFonts w:cs="Times New Roman"/>
        </w:rPr>
        <w:t xml:space="preserve"> </w:t>
      </w:r>
      <w:r w:rsidRPr="00FD4DC0">
        <w:rPr>
          <w:rFonts w:cs="Times New Roman"/>
        </w:rPr>
        <w:t xml:space="preserve">Company’s </w:t>
      </w:r>
      <w:r>
        <w:t>corporate officers and directors</w:t>
      </w:r>
      <w:r w:rsidRPr="00FD4DC0">
        <w:rPr>
          <w:rFonts w:cs="Times New Roman"/>
        </w:rPr>
        <w:t xml:space="preserve">; </w:t>
      </w:r>
    </w:p>
    <w:p w14:paraId="3FDA8C9F" w14:textId="57C958D3" w:rsidR="00B14AE4" w:rsidRPr="004C2D50" w:rsidRDefault="00B14AE4" w:rsidP="00B14AE4">
      <w:pPr>
        <w:pStyle w:val="Heading2"/>
        <w:numPr>
          <w:ilvl w:val="1"/>
          <w:numId w:val="7"/>
        </w:numPr>
        <w:rPr>
          <w:rFonts w:cs="Times New Roman"/>
        </w:rPr>
      </w:pPr>
      <w:r>
        <w:t>Review and discuss with the Company’s management (</w:t>
      </w:r>
      <w:r w:rsidR="002C320D" w:rsidRPr="002C320D">
        <w:t>“</w:t>
      </w:r>
      <w:r w:rsidR="002C320D" w:rsidRPr="002C320D">
        <w:rPr>
          <w:u w:val="single"/>
        </w:rPr>
        <w:t>Management</w:t>
      </w:r>
      <w:r w:rsidR="002C320D" w:rsidRPr="002C320D">
        <w:t>”</w:t>
      </w:r>
      <w:r>
        <w:t>) the Compensation Discussion and Analysis (</w:t>
      </w:r>
      <w:r w:rsidR="002C320D" w:rsidRPr="002C320D">
        <w:t>“</w:t>
      </w:r>
      <w:r w:rsidR="002C320D" w:rsidRPr="002C320D">
        <w:rPr>
          <w:u w:val="single"/>
        </w:rPr>
        <w:t>CD&amp;A</w:t>
      </w:r>
      <w:r w:rsidR="002C320D" w:rsidRPr="002C320D">
        <w:t>”</w:t>
      </w:r>
      <w:r>
        <w:t>) to be included in the Company’s proxy statement for each annual meeting of stockholders (</w:t>
      </w:r>
      <w:r w:rsidR="002C320D" w:rsidRPr="002C320D">
        <w:t>“</w:t>
      </w:r>
      <w:r w:rsidR="002C320D" w:rsidRPr="002C320D">
        <w:rPr>
          <w:u w:val="single"/>
        </w:rPr>
        <w:t>Proxy Statement</w:t>
      </w:r>
      <w:r w:rsidR="002C320D" w:rsidRPr="002C320D">
        <w:t>”</w:t>
      </w:r>
      <w:r>
        <w:t>) or Annual Report on Form 10-K</w:t>
      </w:r>
      <w:r w:rsidR="002C320D" w:rsidRPr="002C320D">
        <w:t>,</w:t>
      </w:r>
      <w:r>
        <w:t xml:space="preserve"> as applicable</w:t>
      </w:r>
      <w:r w:rsidR="002C320D" w:rsidRPr="002C320D">
        <w:t>,</w:t>
      </w:r>
      <w:r>
        <w:t xml:space="preserve"> and to determine whether to recommend to the Board that the CD&amp;A be included in the Proxy Statement</w:t>
      </w:r>
      <w:r w:rsidR="002C320D" w:rsidRPr="002C320D">
        <w:t>,</w:t>
      </w:r>
      <w:r>
        <w:t xml:space="preserve"> in accordance with applicable rules and regulations;</w:t>
      </w:r>
    </w:p>
    <w:p w14:paraId="3E518136" w14:textId="534733DA" w:rsidR="00B14AE4" w:rsidRPr="004C2D50" w:rsidRDefault="00B14AE4" w:rsidP="00B14AE4">
      <w:pPr>
        <w:pStyle w:val="Heading2"/>
        <w:numPr>
          <w:ilvl w:val="1"/>
          <w:numId w:val="7"/>
        </w:numPr>
        <w:rPr>
          <w:rFonts w:cs="Times New Roman"/>
        </w:rPr>
      </w:pPr>
      <w:r>
        <w:t>Produce the Compensation Committee Report for inclusion in the Company’s Proxy Statement or Annual Report</w:t>
      </w:r>
      <w:r w:rsidR="002C320D" w:rsidRPr="002C320D">
        <w:t>,</w:t>
      </w:r>
      <w:r>
        <w:t xml:space="preserve"> in accordance with applicable rules and regulations; and</w:t>
      </w:r>
    </w:p>
    <w:p w14:paraId="57D6B91A" w14:textId="759192EE" w:rsidR="00B14AE4" w:rsidRPr="00E52152" w:rsidRDefault="00B14AE4" w:rsidP="00B14AE4">
      <w:pPr>
        <w:pStyle w:val="Heading2"/>
        <w:numPr>
          <w:ilvl w:val="1"/>
          <w:numId w:val="7"/>
        </w:numPr>
        <w:rPr>
          <w:rFonts w:cs="Times New Roman"/>
        </w:rPr>
      </w:pPr>
      <w:r>
        <w:t>Perform such other functions as the Board may assign to the Committee from time to time.</w:t>
      </w:r>
    </w:p>
    <w:p w14:paraId="6CBE9890" w14:textId="5A01B6CD" w:rsidR="00E52152" w:rsidRPr="004C2D50" w:rsidRDefault="00E52152" w:rsidP="00331E83">
      <w:pPr>
        <w:pStyle w:val="Heading2"/>
        <w:numPr>
          <w:ilvl w:val="0"/>
          <w:numId w:val="0"/>
        </w:numPr>
        <w:rPr>
          <w:rFonts w:cs="Times New Roman"/>
        </w:rPr>
      </w:pPr>
      <w:r w:rsidRPr="00E52152">
        <w:rPr>
          <w:rFonts w:cs="Times New Roman"/>
        </w:rPr>
        <w:t>The Committee’s goal is to ensure that the Company’s compensation program(s) are designed to provide a competitive level of compensation to attract and retain talented executive officers and directors, reward and encourage maximum corporate and individual performance, promote accountability and assure that executive officer and director interests are aligned with the interests of the Company’s stockholders</w:t>
      </w:r>
      <w:r>
        <w:rPr>
          <w:rFonts w:cs="Times New Roman"/>
        </w:rPr>
        <w:t>.</w:t>
      </w:r>
    </w:p>
    <w:p w14:paraId="6387F508" w14:textId="77777777" w:rsidR="00B14AE4" w:rsidRPr="004C2D50" w:rsidRDefault="00B14AE4" w:rsidP="00B14AE4">
      <w:pPr>
        <w:pStyle w:val="Heading1"/>
        <w:numPr>
          <w:ilvl w:val="0"/>
          <w:numId w:val="7"/>
        </w:numPr>
        <w:rPr>
          <w:rFonts w:cs="Times New Roman"/>
        </w:rPr>
      </w:pPr>
      <w:r>
        <w:t>Membership</w:t>
      </w:r>
    </w:p>
    <w:p w14:paraId="71D024E5" w14:textId="512DDD71" w:rsidR="00B14AE4" w:rsidRDefault="00B14AE4" w:rsidP="00B14AE4">
      <w:pPr>
        <w:pStyle w:val="BTBodyText"/>
      </w:pPr>
      <w:r>
        <w:lastRenderedPageBreak/>
        <w:t xml:space="preserve">The Committee shall consist of not less than three members of the Board. Each member of the Committee must be </w:t>
      </w:r>
      <w:r w:rsidR="002C320D" w:rsidRPr="002C320D">
        <w:t>“</w:t>
      </w:r>
      <w:r w:rsidR="002C320D" w:rsidRPr="008F0529">
        <w:t>independent</w:t>
      </w:r>
      <w:r w:rsidR="002C320D" w:rsidRPr="002C320D">
        <w:t>”</w:t>
      </w:r>
      <w:r>
        <w:t xml:space="preserve"> in accordance with the requirements of The NASDAQ Stock Market LLC (</w:t>
      </w:r>
      <w:r w:rsidR="002C320D" w:rsidRPr="002C320D">
        <w:t>“</w:t>
      </w:r>
      <w:r w:rsidR="002C320D" w:rsidRPr="002C320D">
        <w:rPr>
          <w:u w:val="single"/>
        </w:rPr>
        <w:t>NASDAQ</w:t>
      </w:r>
      <w:r w:rsidR="002C320D" w:rsidRPr="002C320D">
        <w:t>”</w:t>
      </w:r>
      <w:r>
        <w:t xml:space="preserve">) and the requirements of Rule </w:t>
      </w:r>
      <w:proofErr w:type="spellStart"/>
      <w:r>
        <w:t>10C</w:t>
      </w:r>
      <w:proofErr w:type="spellEnd"/>
      <w:r>
        <w:t>-1 under the Securities Exchange Act of 1934</w:t>
      </w:r>
      <w:r w:rsidR="002C320D" w:rsidRPr="002C320D">
        <w:t>,</w:t>
      </w:r>
      <w:r>
        <w:t xml:space="preserve"> as amended (the </w:t>
      </w:r>
      <w:r w:rsidR="002C320D" w:rsidRPr="002C320D">
        <w:t>“</w:t>
      </w:r>
      <w:r w:rsidR="002C320D" w:rsidRPr="002C320D">
        <w:rPr>
          <w:u w:val="single"/>
        </w:rPr>
        <w:t>Exchange Act</w:t>
      </w:r>
      <w:r w:rsidR="002C320D" w:rsidRPr="002C320D">
        <w:t>”</w:t>
      </w:r>
      <w:r>
        <w:t>). In addition</w:t>
      </w:r>
      <w:r w:rsidR="002C320D" w:rsidRPr="002C320D">
        <w:t>,</w:t>
      </w:r>
      <w:r>
        <w:t xml:space="preserve"> each member of the Committee must be a </w:t>
      </w:r>
      <w:r w:rsidR="002C320D" w:rsidRPr="002C320D">
        <w:t>“</w:t>
      </w:r>
      <w:r w:rsidR="002C320D" w:rsidRPr="002C320D">
        <w:rPr>
          <w:u w:val="single"/>
        </w:rPr>
        <w:t>Non-Employee Director</w:t>
      </w:r>
      <w:r w:rsidR="002C320D" w:rsidRPr="002C320D">
        <w:t>”</w:t>
      </w:r>
      <w:r>
        <w:t xml:space="preserve"> for the purposes of Rule 16b-3 under the Exchange Act (</w:t>
      </w:r>
      <w:r w:rsidR="002C320D" w:rsidRPr="002C320D">
        <w:t>“</w:t>
      </w:r>
      <w:r w:rsidR="002C320D" w:rsidRPr="002C320D">
        <w:rPr>
          <w:u w:val="single"/>
        </w:rPr>
        <w:t>Rule 16b-3</w:t>
      </w:r>
      <w:r w:rsidR="002C320D" w:rsidRPr="002C320D">
        <w:t>”</w:t>
      </w:r>
      <w:r>
        <w:t xml:space="preserve">). Committee members meeting the applicable independence requirements described above are referred to as </w:t>
      </w:r>
      <w:r w:rsidR="002C320D" w:rsidRPr="002C320D">
        <w:t>“</w:t>
      </w:r>
      <w:r w:rsidR="002C320D" w:rsidRPr="002C320D">
        <w:rPr>
          <w:u w:val="single"/>
        </w:rPr>
        <w:t>Independent Directors.</w:t>
      </w:r>
      <w:r w:rsidR="002C320D" w:rsidRPr="002C320D">
        <w:t>”</w:t>
      </w:r>
      <w:r>
        <w:t xml:space="preserve"> Notwithstanding the foregoing membership requirements</w:t>
      </w:r>
      <w:r w:rsidR="002C320D" w:rsidRPr="002C320D">
        <w:t>,</w:t>
      </w:r>
      <w:r>
        <w:t xml:space="preserve"> no action of the Committee shall be invalid by reason of any such requirement not being met at the time such action is taken.</w:t>
      </w:r>
    </w:p>
    <w:p w14:paraId="63D42B20" w14:textId="288D120B" w:rsidR="00B14AE4" w:rsidRDefault="00B14AE4" w:rsidP="00B14AE4">
      <w:pPr>
        <w:pStyle w:val="BTBodyText"/>
      </w:pPr>
      <w:r>
        <w:t>The members of the Committee and its Chair shall be selected annually by the Board</w:t>
      </w:r>
      <w:r w:rsidR="002C320D" w:rsidRPr="002C320D">
        <w:t>,</w:t>
      </w:r>
      <w:r>
        <w:t xml:space="preserve"> taking into consideration the recommendation of the Nominating &amp; Governance Committee</w:t>
      </w:r>
      <w:r w:rsidR="002C320D" w:rsidRPr="002C320D">
        <w:t>,</w:t>
      </w:r>
      <w:r>
        <w:t xml:space="preserve"> and shall serve at the pleasure of the Board or until earlier resignation or death. The</w:t>
      </w:r>
      <w:r w:rsidR="00E52152">
        <w:t xml:space="preserve"> </w:t>
      </w:r>
      <w:r>
        <w:t>Board shall have power at any time to fill vacancies in</w:t>
      </w:r>
      <w:r w:rsidR="002C320D" w:rsidRPr="002C320D">
        <w:t>,</w:t>
      </w:r>
      <w:r>
        <w:t xml:space="preserve"> to change the membership of</w:t>
      </w:r>
      <w:r w:rsidR="002C320D" w:rsidRPr="002C320D">
        <w:t>,</w:t>
      </w:r>
      <w:r>
        <w:t xml:space="preserve"> or to dissolve any such committee. If a Chair is not designated by the Board or present at a meeting</w:t>
      </w:r>
      <w:r w:rsidR="002C320D" w:rsidRPr="002C320D">
        <w:t>,</w:t>
      </w:r>
      <w:r>
        <w:t xml:space="preserve"> the Committee may designate a Chair by majority vote of the Committee members then in office.</w:t>
      </w:r>
    </w:p>
    <w:p w14:paraId="5D8766DB" w14:textId="77777777" w:rsidR="00B14AE4" w:rsidRPr="004C2D50" w:rsidRDefault="00B14AE4" w:rsidP="00B14AE4">
      <w:pPr>
        <w:pStyle w:val="Heading1"/>
        <w:numPr>
          <w:ilvl w:val="0"/>
          <w:numId w:val="7"/>
        </w:numPr>
        <w:rPr>
          <w:rFonts w:cs="Times New Roman"/>
        </w:rPr>
      </w:pPr>
      <w:r>
        <w:t>Delegation of Authority</w:t>
      </w:r>
    </w:p>
    <w:p w14:paraId="2E81BF8B" w14:textId="2A6EF477" w:rsidR="00B14AE4" w:rsidRDefault="00B14AE4" w:rsidP="00B14AE4">
      <w:pPr>
        <w:pStyle w:val="BTBodyText"/>
      </w:pPr>
      <w:r>
        <w:t>The Committee is delegated all authority of the Board as may be required or advisable to fulfill the purposes of the Committee. Without limiting the generality of the preceding statements</w:t>
      </w:r>
      <w:r w:rsidR="002C320D" w:rsidRPr="002C320D">
        <w:t>,</w:t>
      </w:r>
      <w:r>
        <w:t xml:space="preserve"> the Committee shall have authority</w:t>
      </w:r>
      <w:r w:rsidR="002C320D" w:rsidRPr="002C320D">
        <w:t>,</w:t>
      </w:r>
      <w:r>
        <w:t xml:space="preserve"> and is entrusted with the responsibility</w:t>
      </w:r>
      <w:r w:rsidR="002C320D" w:rsidRPr="002C320D">
        <w:t>,</w:t>
      </w:r>
      <w:r>
        <w:t xml:space="preserve"> to take the following actions:</w:t>
      </w:r>
    </w:p>
    <w:p w14:paraId="429E051F" w14:textId="60D59CA5" w:rsidR="00B14AE4" w:rsidRPr="004C2D50" w:rsidRDefault="00B14AE4" w:rsidP="00B14AE4">
      <w:pPr>
        <w:pStyle w:val="Heading2"/>
        <w:numPr>
          <w:ilvl w:val="1"/>
          <w:numId w:val="7"/>
        </w:numPr>
        <w:rPr>
          <w:rFonts w:cs="Times New Roman"/>
        </w:rPr>
      </w:pPr>
      <w:r>
        <w:t>Conduct or authorize investigations into any matter within the scope of the responsibilities delegated to the Committee as it deems appropriate</w:t>
      </w:r>
      <w:r w:rsidR="002C320D" w:rsidRPr="002C320D">
        <w:t>,</w:t>
      </w:r>
      <w:r>
        <w:t xml:space="preserve"> including the authority to request any officer</w:t>
      </w:r>
      <w:r w:rsidR="002C320D" w:rsidRPr="002C320D">
        <w:t>,</w:t>
      </w:r>
      <w:r>
        <w:t xml:space="preserve"> employee or advisor of the Company to meet with the Committee or any advisors engaged by the Committee.</w:t>
      </w:r>
    </w:p>
    <w:p w14:paraId="433756FF" w14:textId="46F9E98A" w:rsidR="00B14AE4" w:rsidRPr="004C2D50" w:rsidRDefault="00E52152" w:rsidP="00B14AE4">
      <w:pPr>
        <w:pStyle w:val="Heading2"/>
        <w:numPr>
          <w:ilvl w:val="1"/>
          <w:numId w:val="7"/>
        </w:numPr>
        <w:rPr>
          <w:rFonts w:cs="Times New Roman"/>
        </w:rPr>
      </w:pPr>
      <w:r>
        <w:t>In its sole discretion, retain</w:t>
      </w:r>
      <w:r w:rsidR="002C320D" w:rsidRPr="002C320D">
        <w:t>,</w:t>
      </w:r>
      <w:r w:rsidR="00B14AE4">
        <w:t xml:space="preserve"> approve the fees payable to</w:t>
      </w:r>
      <w:r w:rsidR="002C320D" w:rsidRPr="002C320D">
        <w:t>,</w:t>
      </w:r>
      <w:r w:rsidR="00B14AE4">
        <w:t xml:space="preserve"> amend the engagement with</w:t>
      </w:r>
      <w:r w:rsidR="002C320D" w:rsidRPr="002C320D">
        <w:t>,</w:t>
      </w:r>
      <w:r w:rsidR="00B14AE4">
        <w:t xml:space="preserve"> and terminate independent legal counsel and other experts</w:t>
      </w:r>
      <w:r w:rsidR="002C320D" w:rsidRPr="002C320D">
        <w:t>,</w:t>
      </w:r>
      <w:r w:rsidR="00B14AE4">
        <w:t xml:space="preserve"> advisors and consultants as it deems necessary or appropriate to fulfill its responsibilities</w:t>
      </w:r>
      <w:r w:rsidR="002C320D" w:rsidRPr="002C320D">
        <w:t>,</w:t>
      </w:r>
      <w:r w:rsidR="00B14AE4">
        <w:t xml:space="preserve"> including one or more compensation consultants</w:t>
      </w:r>
      <w:r w:rsidR="002C320D" w:rsidRPr="002C320D">
        <w:t>,</w:t>
      </w:r>
      <w:r w:rsidR="00B14AE4">
        <w:t xml:space="preserve"> to assist the Committee in the evaluation of director</w:t>
      </w:r>
      <w:r w:rsidR="002C320D" w:rsidRPr="002C320D">
        <w:t>,</w:t>
      </w:r>
      <w:r w:rsidR="00B14AE4">
        <w:t xml:space="preserve"> Chief Executive Officer or officer compensation. The Committee may also utilize the services of the Company’s regular outside legal counsel or other advisors to the Company. Any communications between one or more members of the Committee</w:t>
      </w:r>
      <w:r w:rsidR="002C320D" w:rsidRPr="002C320D">
        <w:t>,</w:t>
      </w:r>
      <w:r w:rsidR="00B14AE4">
        <w:t xml:space="preserve"> on the one hand</w:t>
      </w:r>
      <w:r w:rsidR="002C320D" w:rsidRPr="002C320D">
        <w:t>,</w:t>
      </w:r>
      <w:r w:rsidR="00B14AE4">
        <w:t xml:space="preserve"> and the Committee’s outside legal counsel</w:t>
      </w:r>
      <w:r w:rsidR="002C320D" w:rsidRPr="002C320D">
        <w:t>,</w:t>
      </w:r>
      <w:r w:rsidR="00B14AE4">
        <w:t xml:space="preserve"> on the other hand</w:t>
      </w:r>
      <w:r w:rsidR="002C320D" w:rsidRPr="002C320D">
        <w:t>,</w:t>
      </w:r>
      <w:r w:rsidR="00B14AE4">
        <w:t xml:space="preserve"> will be privileged communications. The Company shall provide for appropriate funding</w:t>
      </w:r>
      <w:r w:rsidR="002C320D" w:rsidRPr="002C320D">
        <w:t>,</w:t>
      </w:r>
      <w:r w:rsidR="00B14AE4">
        <w:t xml:space="preserve"> as determined by the Committee</w:t>
      </w:r>
      <w:r w:rsidR="002C320D" w:rsidRPr="002C320D">
        <w:t>,</w:t>
      </w:r>
      <w:r w:rsidR="00B14AE4">
        <w:t xml:space="preserve"> for payment of </w:t>
      </w:r>
      <w:r w:rsidR="007C46AD" w:rsidRPr="008810B9">
        <w:fldChar w:fldCharType="begin"/>
      </w:r>
      <w:r w:rsidR="007C46AD" w:rsidRPr="008810B9">
        <w:instrText xml:space="preserve"> LISTNUM \l 6 </w:instrText>
      </w:r>
      <w:r w:rsidR="007C46AD" w:rsidRPr="008810B9">
        <w:fldChar w:fldCharType="end">
          <w:numberingChange w:id="0" w:author="Schmergel, Chloe" w:date="2022-06-15T13:22:00Z" w:original="(i)"/>
        </w:fldChar>
      </w:r>
      <w:r w:rsidR="007C46AD">
        <w:t> </w:t>
      </w:r>
      <w:r w:rsidR="00B14AE4">
        <w:t>compensation to any experts</w:t>
      </w:r>
      <w:r w:rsidR="002C320D" w:rsidRPr="002C320D">
        <w:t>,</w:t>
      </w:r>
      <w:r w:rsidR="00B14AE4">
        <w:t xml:space="preserve"> consultants and advisors</w:t>
      </w:r>
      <w:r w:rsidR="002C320D" w:rsidRPr="002C320D">
        <w:t>,</w:t>
      </w:r>
      <w:r w:rsidR="00B14AE4">
        <w:t xml:space="preserve"> including any compensation consultants</w:t>
      </w:r>
      <w:r w:rsidR="002C320D" w:rsidRPr="002C320D">
        <w:t>,</w:t>
      </w:r>
      <w:r w:rsidR="00B14AE4">
        <w:t xml:space="preserve"> retained by the Committee; and </w:t>
      </w:r>
      <w:r w:rsidR="007C46AD" w:rsidRPr="008810B9">
        <w:fldChar w:fldCharType="begin"/>
      </w:r>
      <w:r w:rsidR="007C46AD" w:rsidRPr="008810B9">
        <w:instrText xml:space="preserve"> LISTNUM \l 6 </w:instrText>
      </w:r>
      <w:r w:rsidR="007C46AD" w:rsidRPr="008810B9">
        <w:fldChar w:fldCharType="end">
          <w:numberingChange w:id="1" w:author="Schmergel, Chloe" w:date="2022-06-15T13:22:00Z" w:original="(ii)"/>
        </w:fldChar>
      </w:r>
      <w:r w:rsidR="007C46AD">
        <w:t> </w:t>
      </w:r>
      <w:r w:rsidR="00B14AE4">
        <w:t>ordinary administrative expenses of the Committee that are necessary or appropriate in carrying out its duties.</w:t>
      </w:r>
    </w:p>
    <w:p w14:paraId="3D113B38" w14:textId="21D80142" w:rsidR="00B14AE4" w:rsidRPr="004C2D50" w:rsidRDefault="00B14AE4" w:rsidP="00B14AE4">
      <w:pPr>
        <w:pStyle w:val="Heading2"/>
        <w:numPr>
          <w:ilvl w:val="1"/>
          <w:numId w:val="7"/>
        </w:numPr>
        <w:rPr>
          <w:rFonts w:cs="Times New Roman"/>
        </w:rPr>
      </w:pPr>
      <w:r>
        <w:t>Delegate to its Chair</w:t>
      </w:r>
      <w:r w:rsidR="002C320D" w:rsidRPr="002C320D">
        <w:t>,</w:t>
      </w:r>
      <w:r>
        <w:t xml:space="preserve"> any one of its members or any subcommittee it may form</w:t>
      </w:r>
      <w:r w:rsidR="002C320D" w:rsidRPr="002C320D">
        <w:t>,</w:t>
      </w:r>
      <w:r>
        <w:t xml:space="preserve"> the responsibility and authority to take action in relation to such responsibility for any particular matter</w:t>
      </w:r>
      <w:r w:rsidR="002C320D" w:rsidRPr="002C320D">
        <w:t>,</w:t>
      </w:r>
      <w:r>
        <w:t xml:space="preserve"> as it deems appropriate from time to time under the </w:t>
      </w:r>
      <w:r>
        <w:lastRenderedPageBreak/>
        <w:t>circumstances. However</w:t>
      </w:r>
      <w:r w:rsidR="002C320D" w:rsidRPr="002C320D">
        <w:t>,</w:t>
      </w:r>
      <w:r>
        <w:t xml:space="preserve"> subcommittees shall not have the authority to engage independent legal counsel and other experts and advisors unless expressly granted such authority by the Committee. Each subcommittee shall be composed solely of Independent Directors. Each subcommittee shall keep minutes and regularly report to the Committee.</w:t>
      </w:r>
    </w:p>
    <w:p w14:paraId="5919B13A" w14:textId="77777777" w:rsidR="00B14AE4" w:rsidRPr="004C2D50" w:rsidRDefault="00B14AE4" w:rsidP="00B14AE4">
      <w:pPr>
        <w:pStyle w:val="Heading1"/>
        <w:numPr>
          <w:ilvl w:val="0"/>
          <w:numId w:val="7"/>
        </w:numPr>
        <w:rPr>
          <w:rFonts w:cs="Times New Roman"/>
        </w:rPr>
      </w:pPr>
      <w:r>
        <w:t>Responsibilities</w:t>
      </w:r>
    </w:p>
    <w:p w14:paraId="49B0EEC3" w14:textId="77777777" w:rsidR="00B14AE4" w:rsidRDefault="00B14AE4" w:rsidP="00B14AE4">
      <w:pPr>
        <w:pStyle w:val="BTBodyText"/>
      </w:pPr>
      <w:r>
        <w:t>The Committee shall have the following responsibilities:</w:t>
      </w:r>
    </w:p>
    <w:p w14:paraId="23C48FE0" w14:textId="77777777" w:rsidR="00B14AE4" w:rsidRDefault="00B14AE4" w:rsidP="002C320D">
      <w:pPr>
        <w:pStyle w:val="Heading3"/>
      </w:pPr>
      <w:r>
        <w:t xml:space="preserve">Executive Compensation </w:t>
      </w:r>
    </w:p>
    <w:p w14:paraId="46D04078" w14:textId="77777777" w:rsidR="00B14AE4" w:rsidRPr="004C2D50" w:rsidRDefault="00B14AE4" w:rsidP="002C320D">
      <w:pPr>
        <w:pStyle w:val="Heading4"/>
        <w:rPr>
          <w:rFonts w:cs="Times New Roman"/>
        </w:rPr>
      </w:pPr>
      <w:r>
        <w:t>The Committee shall exercise oversight of all matters of executive compensation policy.</w:t>
      </w:r>
    </w:p>
    <w:p w14:paraId="3E4608FF" w14:textId="1BC181E3" w:rsidR="00B14AE4" w:rsidRPr="004C2D50" w:rsidRDefault="00B14AE4" w:rsidP="002C320D">
      <w:pPr>
        <w:pStyle w:val="Heading4"/>
        <w:rPr>
          <w:rFonts w:cs="Times New Roman"/>
        </w:rPr>
      </w:pPr>
      <w:r>
        <w:t>Each year</w:t>
      </w:r>
      <w:r w:rsidR="002C320D" w:rsidRPr="002C320D">
        <w:t>,</w:t>
      </w:r>
      <w:r>
        <w:t xml:space="preserve"> the Committee shall:</w:t>
      </w:r>
    </w:p>
    <w:p w14:paraId="1FD3EA77" w14:textId="519E264A" w:rsidR="00B14AE4" w:rsidRDefault="00B14AE4" w:rsidP="00BC3156">
      <w:pPr>
        <w:pStyle w:val="LBListBullet"/>
      </w:pPr>
      <w:r>
        <w:t>Review</w:t>
      </w:r>
      <w:r w:rsidR="002C320D" w:rsidRPr="002C320D">
        <w:t>,</w:t>
      </w:r>
      <w:r>
        <w:t xml:space="preserve"> modify (if necessary) and approve the Company’s peer companies and data sources for purposes of evaluating the Company’s compensation competitiveness and establishing the appropriate competitive positioning of the levels and mix of compensation elements;</w:t>
      </w:r>
    </w:p>
    <w:p w14:paraId="1FD6AA2E" w14:textId="331EC096" w:rsidR="00B14AE4" w:rsidRDefault="00B14AE4" w:rsidP="00BC3156">
      <w:pPr>
        <w:pStyle w:val="LBListBullet"/>
      </w:pPr>
      <w:r>
        <w:t>Review</w:t>
      </w:r>
      <w:r w:rsidR="002C320D" w:rsidRPr="002C320D">
        <w:t>,</w:t>
      </w:r>
      <w:r>
        <w:t xml:space="preserve"> modify (if necessary) and approve corporate goals and objectives relevant to the compensation of the Company’s Chief Executive Officer and the Company’s other executive officers;</w:t>
      </w:r>
    </w:p>
    <w:p w14:paraId="094B5D1D" w14:textId="4926F6C3" w:rsidR="00B14AE4" w:rsidRDefault="00B14AE4" w:rsidP="00BC3156">
      <w:pPr>
        <w:pStyle w:val="LBListBullet"/>
      </w:pPr>
      <w:r>
        <w:t>Review</w:t>
      </w:r>
      <w:r w:rsidR="002C320D" w:rsidRPr="002C320D">
        <w:t>,</w:t>
      </w:r>
      <w:r>
        <w:t xml:space="preserve"> modify (if necessary) and approve the Company’s executive compensation program in light of the Company’s goals and objectives relative to executive compensation;</w:t>
      </w:r>
    </w:p>
    <w:p w14:paraId="2B3FD011" w14:textId="5FED05F7" w:rsidR="00B14AE4" w:rsidRDefault="00B14AE4" w:rsidP="00BC3156">
      <w:pPr>
        <w:pStyle w:val="LBListBullet"/>
      </w:pPr>
      <w:r>
        <w:t>Evaluate the performance of the Company’s Chief Executive Officer and</w:t>
      </w:r>
      <w:r w:rsidR="002C320D" w:rsidRPr="002C320D">
        <w:t>,</w:t>
      </w:r>
      <w:r>
        <w:t xml:space="preserve"> in consultation with the Chief Executive Officer</w:t>
      </w:r>
      <w:r w:rsidR="002C320D" w:rsidRPr="002C320D">
        <w:t>,</w:t>
      </w:r>
      <w:r>
        <w:t xml:space="preserve"> the Company’s other executive officers in light of the Company’s executive compensation goals and objectives; and</w:t>
      </w:r>
    </w:p>
    <w:p w14:paraId="4A1DEE4C" w14:textId="504A5306" w:rsidR="00B14AE4" w:rsidRDefault="00B14AE4" w:rsidP="00BC3156">
      <w:pPr>
        <w:pStyle w:val="LBListBullet"/>
      </w:pPr>
      <w:r>
        <w:t>Set the compensation of the Company’s Chief Executive Officer and</w:t>
      </w:r>
      <w:r w:rsidR="002C320D" w:rsidRPr="002C320D">
        <w:t>,</w:t>
      </w:r>
      <w:r>
        <w:t xml:space="preserve"> in consultation with the Chief Executive Officer</w:t>
      </w:r>
      <w:r w:rsidR="002C320D" w:rsidRPr="002C320D">
        <w:t>,</w:t>
      </w:r>
      <w:r>
        <w:t xml:space="preserve"> the Company’s other executive officers based on this evaluation</w:t>
      </w:r>
      <w:r w:rsidR="002C320D" w:rsidRPr="002C320D">
        <w:t>,</w:t>
      </w:r>
      <w:r>
        <w:t xml:space="preserve"> including the annual base salary levels; annual cash incentive awards; long-term incentive awards; employment agreements (if any)</w:t>
      </w:r>
      <w:r w:rsidR="002C320D" w:rsidRPr="002C320D">
        <w:t>,</w:t>
      </w:r>
      <w:r>
        <w:t xml:space="preserve"> severance arrangements and change-in-control agreements and provisions; and any special or supplemental benefits. In determining the long-term incentive component (if any) of such compensation</w:t>
      </w:r>
      <w:r w:rsidR="002C320D" w:rsidRPr="002C320D">
        <w:t>,</w:t>
      </w:r>
      <w:r>
        <w:t xml:space="preserve"> the Committee should consider the Company’s performance and relative stockholder return</w:t>
      </w:r>
      <w:r w:rsidR="002C320D" w:rsidRPr="002C320D">
        <w:t>,</w:t>
      </w:r>
      <w:r>
        <w:t xml:space="preserve"> the value of similar awards to officers at comparable companies and the awards given to </w:t>
      </w:r>
      <w:r>
        <w:lastRenderedPageBreak/>
        <w:t>the Chief Executive Officer and other executive officers historically. In evaluating and setting the compensation of the Chief Executive Officer and all other executive officers</w:t>
      </w:r>
      <w:r w:rsidR="002C320D" w:rsidRPr="002C320D">
        <w:t>,</w:t>
      </w:r>
      <w:r>
        <w:t xml:space="preserve"> the Committee shall consider the results of the most recent stockholder advisory vote on executive compensation (</w:t>
      </w:r>
      <w:r w:rsidR="002C320D" w:rsidRPr="002C320D">
        <w:t>“</w:t>
      </w:r>
      <w:r w:rsidR="002C320D" w:rsidRPr="002C320D">
        <w:rPr>
          <w:u w:val="single"/>
        </w:rPr>
        <w:t>Say-on-Pay Vote</w:t>
      </w:r>
      <w:r w:rsidR="002C320D" w:rsidRPr="002C320D">
        <w:t>”</w:t>
      </w:r>
      <w:r>
        <w:t>) required by Section 14A of the Exchange Act.</w:t>
      </w:r>
    </w:p>
    <w:p w14:paraId="794BB671" w14:textId="7C814026" w:rsidR="00B14AE4" w:rsidRDefault="00B14AE4" w:rsidP="00BC3156">
      <w:pPr>
        <w:pStyle w:val="LBListBullet"/>
      </w:pPr>
      <w:r>
        <w:t xml:space="preserve">The Chief Executive Officer may not be present during voting or deliberations on </w:t>
      </w:r>
      <w:r w:rsidR="00E52152">
        <w:t xml:space="preserve">their </w:t>
      </w:r>
      <w:r>
        <w:t>compensation.</w:t>
      </w:r>
    </w:p>
    <w:p w14:paraId="68A30F46" w14:textId="2B5291B9" w:rsidR="00B14AE4" w:rsidRPr="004C2D50" w:rsidRDefault="00B14AE4" w:rsidP="00BC3156">
      <w:pPr>
        <w:pStyle w:val="Heading4"/>
        <w:rPr>
          <w:rFonts w:cs="Times New Roman"/>
        </w:rPr>
      </w:pPr>
      <w:r>
        <w:t>The Committee shall review and discuss with Management the CD&amp;A to be included in the Company’s Proxy Statement or Annual Report and</w:t>
      </w:r>
      <w:r w:rsidR="002C320D" w:rsidRPr="002C320D">
        <w:t>,</w:t>
      </w:r>
      <w:r>
        <w:t xml:space="preserve"> based on that review</w:t>
      </w:r>
      <w:r w:rsidR="002C320D" w:rsidRPr="002C320D">
        <w:t>,</w:t>
      </w:r>
      <w:r>
        <w:t xml:space="preserve"> determine whether to recommend to the Board that the CD&amp;A be included in the Proxy Statement or Annual Report</w:t>
      </w:r>
      <w:r w:rsidR="002C320D" w:rsidRPr="002C320D">
        <w:t>,</w:t>
      </w:r>
      <w:r>
        <w:t xml:space="preserve"> in accordance with applicable rules and regulations.</w:t>
      </w:r>
    </w:p>
    <w:p w14:paraId="528DE4F1" w14:textId="069053BA" w:rsidR="00B14AE4" w:rsidRPr="004C2D50" w:rsidRDefault="00B14AE4" w:rsidP="00BC3156">
      <w:pPr>
        <w:pStyle w:val="Heading4"/>
        <w:rPr>
          <w:rFonts w:cs="Times New Roman"/>
        </w:rPr>
      </w:pPr>
      <w:r>
        <w:t>Each year</w:t>
      </w:r>
      <w:r w:rsidR="002C320D" w:rsidRPr="002C320D">
        <w:t>,</w:t>
      </w:r>
      <w:r>
        <w:t xml:space="preserve"> the Committee shall prepare a Compensation Committee Report and publish the report in the Company’s Proxy Statement</w:t>
      </w:r>
      <w:r w:rsidR="002C320D" w:rsidRPr="002C320D">
        <w:t>,</w:t>
      </w:r>
      <w:r>
        <w:t xml:space="preserve"> in accordance with applicable rules and regulations.</w:t>
      </w:r>
    </w:p>
    <w:p w14:paraId="2894DCB3" w14:textId="77777777" w:rsidR="00B14AE4" w:rsidRDefault="00B14AE4" w:rsidP="00BC3156">
      <w:pPr>
        <w:pStyle w:val="Heading3"/>
      </w:pPr>
      <w:r>
        <w:t>Incentive and Equity Compensation</w:t>
      </w:r>
    </w:p>
    <w:p w14:paraId="71E38F1F" w14:textId="21F69BDC" w:rsidR="00B14AE4" w:rsidRPr="00BC3156" w:rsidRDefault="00B14AE4" w:rsidP="00BC3156">
      <w:pPr>
        <w:pStyle w:val="Heading4"/>
      </w:pPr>
      <w:r w:rsidRPr="00BC3156">
        <w:t>Each year</w:t>
      </w:r>
      <w:r w:rsidR="002C320D" w:rsidRPr="00BC3156">
        <w:t>,</w:t>
      </w:r>
      <w:r w:rsidRPr="00BC3156">
        <w:t xml:space="preserve"> the Committee shall review and make recommendations to the Board</w:t>
      </w:r>
      <w:r>
        <w:t xml:space="preserve"> with respect to incentive-compensation plans and equity-based plans that are </w:t>
      </w:r>
      <w:r w:rsidRPr="00BC3156">
        <w:t>subject to Board approval.</w:t>
      </w:r>
    </w:p>
    <w:p w14:paraId="41F69F22" w14:textId="0AFE8479" w:rsidR="00B14AE4" w:rsidRPr="004C2D50" w:rsidRDefault="00B14AE4" w:rsidP="00BC3156">
      <w:pPr>
        <w:pStyle w:val="Heading4"/>
        <w:rPr>
          <w:rFonts w:cs="Times New Roman"/>
        </w:rPr>
      </w:pPr>
      <w:r>
        <w:t>The Committee shall ensure that stockholders are given the opportunity to vote on equity-compensation plans</w:t>
      </w:r>
      <w:r w:rsidR="002C320D" w:rsidRPr="002C320D">
        <w:t>,</w:t>
      </w:r>
      <w:r>
        <w:t xml:space="preserve"> as may be required by law</w:t>
      </w:r>
      <w:r w:rsidR="002C320D" w:rsidRPr="002C320D">
        <w:t>,</w:t>
      </w:r>
      <w:r>
        <w:t xml:space="preserve"> the Company’s certificate of incorporation or bylaws (as amended from time to time)</w:t>
      </w:r>
      <w:r w:rsidR="002C320D" w:rsidRPr="002C320D">
        <w:t>,</w:t>
      </w:r>
      <w:r>
        <w:t xml:space="preserve"> the Company’s Corporate Governance Guidelines and rules of NASDAQ.</w:t>
      </w:r>
    </w:p>
    <w:p w14:paraId="2D43B365" w14:textId="77777777" w:rsidR="00B14AE4" w:rsidRDefault="00B14AE4" w:rsidP="00BC3156">
      <w:pPr>
        <w:pStyle w:val="Heading3"/>
      </w:pPr>
      <w:r>
        <w:t>Director Compensation</w:t>
      </w:r>
    </w:p>
    <w:p w14:paraId="1945ED94" w14:textId="0586FD06" w:rsidR="00B14AE4" w:rsidRPr="00BC3156" w:rsidRDefault="00B14AE4" w:rsidP="00BC3156">
      <w:pPr>
        <w:pStyle w:val="Heading4"/>
      </w:pPr>
      <w:r w:rsidRPr="00BC3156">
        <w:t>Each year</w:t>
      </w:r>
      <w:r w:rsidR="002C320D" w:rsidRPr="00BC3156">
        <w:t>,</w:t>
      </w:r>
      <w:r w:rsidRPr="00BC3156">
        <w:t xml:space="preserve"> the Committee shall review director compensation and make a</w:t>
      </w:r>
      <w:r>
        <w:t xml:space="preserve"> </w:t>
      </w:r>
      <w:r w:rsidRPr="00BC3156">
        <w:t xml:space="preserve">recommendation to the Board regarding the form and amount of director compensation. The Committee will consider that a director’s independence may be jeopardized if </w:t>
      </w:r>
      <w:r w:rsidR="007C46AD" w:rsidRPr="008810B9">
        <w:fldChar w:fldCharType="begin"/>
      </w:r>
      <w:r w:rsidR="007C46AD" w:rsidRPr="008810B9">
        <w:instrText xml:space="preserve"> LISTNUM \l 5 </w:instrText>
      </w:r>
      <w:r w:rsidR="007C46AD" w:rsidRPr="008810B9">
        <w:fldChar w:fldCharType="end">
          <w:numberingChange w:id="2" w:author="Schmergel, Chloe" w:date="2022-06-15T13:22:00Z" w:original="(a)"/>
        </w:fldChar>
      </w:r>
      <w:r w:rsidR="007C46AD">
        <w:t> </w:t>
      </w:r>
      <w:r w:rsidR="00E52152">
        <w:t>their</w:t>
      </w:r>
      <w:r w:rsidRPr="00BC3156">
        <w:t xml:space="preserve"> compensation and perquisites exceed customary levels</w:t>
      </w:r>
      <w:r w:rsidR="002C320D" w:rsidRPr="00BC3156">
        <w:t>,</w:t>
      </w:r>
      <w:r w:rsidRPr="00BC3156">
        <w:t xml:space="preserve"> </w:t>
      </w:r>
      <w:r w:rsidR="007C46AD" w:rsidRPr="008810B9">
        <w:fldChar w:fldCharType="begin"/>
      </w:r>
      <w:r w:rsidR="007C46AD" w:rsidRPr="008810B9">
        <w:instrText xml:space="preserve"> LISTNUM \l 5 </w:instrText>
      </w:r>
      <w:r w:rsidR="007C46AD" w:rsidRPr="008810B9">
        <w:fldChar w:fldCharType="end">
          <w:numberingChange w:id="3" w:author="Schmergel, Chloe" w:date="2022-06-15T13:22:00Z" w:original="(b)"/>
        </w:fldChar>
      </w:r>
      <w:r w:rsidR="007C46AD">
        <w:t> </w:t>
      </w:r>
      <w:r w:rsidRPr="00BC3156">
        <w:t xml:space="preserve">the Company makes substantial charitable contributions to organizations with which the director is affiliated or </w:t>
      </w:r>
      <w:r w:rsidR="007C46AD" w:rsidRPr="008810B9">
        <w:fldChar w:fldCharType="begin"/>
      </w:r>
      <w:r w:rsidR="007C46AD" w:rsidRPr="008810B9">
        <w:instrText xml:space="preserve"> LISTNUM \l 5 </w:instrText>
      </w:r>
      <w:r w:rsidR="007C46AD" w:rsidRPr="008810B9">
        <w:fldChar w:fldCharType="end">
          <w:numberingChange w:id="4" w:author="Schmergel, Chloe" w:date="2022-06-15T13:22:00Z" w:original="(c)"/>
        </w:fldChar>
      </w:r>
      <w:r w:rsidR="007C46AD">
        <w:t> </w:t>
      </w:r>
      <w:r w:rsidRPr="00BC3156">
        <w:t>the Company enters into consulting contracts with (or provides other indirect forms of compensation to) the director or an organization with which the director is affiliated. Directors who are employees of the Company shall not receive any additional compensation for service on the Board.</w:t>
      </w:r>
    </w:p>
    <w:p w14:paraId="2AB80FF9" w14:textId="77777777" w:rsidR="00B14AE4" w:rsidRDefault="00B14AE4" w:rsidP="00BC3156">
      <w:pPr>
        <w:pStyle w:val="Heading3"/>
      </w:pPr>
      <w:r>
        <w:t>Other Powers and Responsibilities</w:t>
      </w:r>
    </w:p>
    <w:p w14:paraId="724988B0" w14:textId="4F1C110F" w:rsidR="00B14AE4" w:rsidRPr="00DD7836" w:rsidRDefault="00B14AE4" w:rsidP="00BC3156">
      <w:pPr>
        <w:pStyle w:val="Heading4"/>
        <w:rPr>
          <w:rFonts w:cs="Times New Roman"/>
        </w:rPr>
      </w:pPr>
      <w:r>
        <w:lastRenderedPageBreak/>
        <w:t>The Committee shall review and approve</w:t>
      </w:r>
      <w:r w:rsidR="002C320D" w:rsidRPr="002C320D">
        <w:t>,</w:t>
      </w:r>
      <w:r>
        <w:t xml:space="preserve"> or review and recommend to the Board for its approval of</w:t>
      </w:r>
      <w:r w:rsidR="002C320D" w:rsidRPr="002C320D">
        <w:t>,</w:t>
      </w:r>
      <w:r>
        <w:t xml:space="preserve"> any transaction in equity securities of the Company</w:t>
      </w:r>
      <w:r w:rsidR="002C320D" w:rsidRPr="002C320D">
        <w:t>,</w:t>
      </w:r>
      <w:r>
        <w:t xml:space="preserve"> or derivatives of those equity securities</w:t>
      </w:r>
      <w:r w:rsidR="002C320D" w:rsidRPr="002C320D">
        <w:t>,</w:t>
      </w:r>
      <w:r>
        <w:t xml:space="preserve"> between the Company and any officer or director of the Company who is subject to the reporting and short-swing liability provisions of Section 16 of the Exchange Act.</w:t>
      </w:r>
    </w:p>
    <w:p w14:paraId="02C759C6" w14:textId="0C9F7A33" w:rsidR="00DD7836" w:rsidRPr="004C2D50" w:rsidRDefault="00DD7836" w:rsidP="00BC3156">
      <w:pPr>
        <w:pStyle w:val="Heading4"/>
        <w:rPr>
          <w:rFonts w:cs="Times New Roman"/>
        </w:rPr>
      </w:pPr>
      <w:r w:rsidRPr="00DD7836">
        <w:rPr>
          <w:rFonts w:cs="Times New Roman"/>
        </w:rPr>
        <w:t>The Committee will review, as it deems necessary, appropriate matters related to the Company’s compliance with applicable laws and regulations affecting employee and director compensation and benefits, including, but not limited to, Rule 16b-3</w:t>
      </w:r>
      <w:r>
        <w:rPr>
          <w:rFonts w:cs="Times New Roman"/>
        </w:rPr>
        <w:t xml:space="preserve"> </w:t>
      </w:r>
      <w:r w:rsidRPr="00DD7836">
        <w:rPr>
          <w:rFonts w:cs="Times New Roman"/>
        </w:rPr>
        <w:t>and Section 13(k) of the Exchange Act.</w:t>
      </w:r>
    </w:p>
    <w:p w14:paraId="0A0DC1D9" w14:textId="25016560" w:rsidR="00B14AE4" w:rsidRPr="004C2D50" w:rsidRDefault="00B14AE4" w:rsidP="00BC3156">
      <w:pPr>
        <w:pStyle w:val="Heading4"/>
        <w:rPr>
          <w:rFonts w:cs="Times New Roman"/>
        </w:rPr>
      </w:pPr>
      <w:r>
        <w:t>If the Committee engages independent legal counsel</w:t>
      </w:r>
      <w:r w:rsidR="002C320D" w:rsidRPr="002C320D">
        <w:t>,</w:t>
      </w:r>
      <w:r>
        <w:t xml:space="preserve"> a compensation consultant or other advisers</w:t>
      </w:r>
      <w:r w:rsidR="002C320D" w:rsidRPr="002C320D">
        <w:t>,</w:t>
      </w:r>
      <w:r>
        <w:t xml:space="preserve"> then the Committee is directly responsible for the appointment</w:t>
      </w:r>
      <w:r w:rsidR="002C320D" w:rsidRPr="002C320D">
        <w:t>,</w:t>
      </w:r>
      <w:r>
        <w:t xml:space="preserve"> compensation and oversight of such counsel</w:t>
      </w:r>
      <w:r w:rsidR="002C320D" w:rsidRPr="002C320D">
        <w:t>,</w:t>
      </w:r>
      <w:r>
        <w:t xml:space="preserve"> consultant or adviser. Prior to such engagement</w:t>
      </w:r>
      <w:r w:rsidR="002C320D" w:rsidRPr="002C320D">
        <w:t>,</w:t>
      </w:r>
      <w:r>
        <w:t xml:space="preserve"> the Committee will analyze the relationships such counsel</w:t>
      </w:r>
      <w:r w:rsidR="002C320D" w:rsidRPr="002C320D">
        <w:t>,</w:t>
      </w:r>
      <w:r>
        <w:t xml:space="preserve"> consultants or advisers have with members of the Committee</w:t>
      </w:r>
      <w:r w:rsidR="002C320D" w:rsidRPr="002C320D">
        <w:t>,</w:t>
      </w:r>
      <w:r>
        <w:t xml:space="preserve"> as well as Management and the Company as a whole</w:t>
      </w:r>
      <w:r w:rsidR="002C320D" w:rsidRPr="002C320D">
        <w:t>,</w:t>
      </w:r>
      <w:r>
        <w:t xml:space="preserve"> to evaluate whether any conflict of interest exists. This analysis will include the specific factors identified by the Securities and Exchange Commission and NASDAQ that affect the independence of compensation advisers. However</w:t>
      </w:r>
      <w:r w:rsidR="002C320D" w:rsidRPr="002C320D">
        <w:t>,</w:t>
      </w:r>
      <w:r>
        <w:t xml:space="preserve"> the Committee is not required to assess the independence of any compensation consultant or other advisor that acts in a role limited to </w:t>
      </w:r>
      <w:r w:rsidR="007C46AD" w:rsidRPr="008810B9">
        <w:fldChar w:fldCharType="begin"/>
      </w:r>
      <w:r w:rsidR="007C46AD" w:rsidRPr="008810B9">
        <w:instrText xml:space="preserve"> LISTNUM \l 6 </w:instrText>
      </w:r>
      <w:r w:rsidR="007C46AD" w:rsidRPr="008810B9">
        <w:fldChar w:fldCharType="end">
          <w:numberingChange w:id="5" w:author="Schmergel, Chloe" w:date="2022-06-15T13:22:00Z" w:original="(i)"/>
        </w:fldChar>
      </w:r>
      <w:r w:rsidR="007C46AD">
        <w:t> </w:t>
      </w:r>
      <w:r>
        <w:t xml:space="preserve">consulting on any broad-based plan that </w:t>
      </w:r>
      <w:r w:rsidR="007C46AD" w:rsidRPr="008810B9">
        <w:fldChar w:fldCharType="begin"/>
      </w:r>
      <w:r w:rsidR="007C46AD" w:rsidRPr="008810B9">
        <w:instrText xml:space="preserve"> LISTNUM \l 7 </w:instrText>
      </w:r>
      <w:r w:rsidR="007C46AD" w:rsidRPr="008810B9">
        <w:fldChar w:fldCharType="end">
          <w:numberingChange w:id="6" w:author="Schmergel, Chloe" w:date="2022-06-15T13:22:00Z" w:original="(A)"/>
        </w:fldChar>
      </w:r>
      <w:r w:rsidR="007C46AD">
        <w:t> </w:t>
      </w:r>
      <w:r>
        <w:t>does not discriminate in scope</w:t>
      </w:r>
      <w:r w:rsidR="002C320D" w:rsidRPr="002C320D">
        <w:t>,</w:t>
      </w:r>
      <w:r>
        <w:t xml:space="preserve"> terms or operation in favor of executive officers or directors and </w:t>
      </w:r>
      <w:r w:rsidR="007C46AD" w:rsidRPr="008810B9">
        <w:fldChar w:fldCharType="begin"/>
      </w:r>
      <w:r w:rsidR="007C46AD" w:rsidRPr="008810B9">
        <w:instrText xml:space="preserve"> LISTNUM \l 7 </w:instrText>
      </w:r>
      <w:r w:rsidR="007C46AD" w:rsidRPr="008810B9">
        <w:fldChar w:fldCharType="end">
          <w:numberingChange w:id="7" w:author="Schmergel, Chloe" w:date="2022-06-15T13:22:00Z" w:original="(B)"/>
        </w:fldChar>
      </w:r>
      <w:r w:rsidR="007C46AD">
        <w:t> </w:t>
      </w:r>
      <w:r>
        <w:t xml:space="preserve">is generally available to all salaried employees or </w:t>
      </w:r>
      <w:r w:rsidR="007C46AD" w:rsidRPr="008810B9">
        <w:fldChar w:fldCharType="begin"/>
      </w:r>
      <w:r w:rsidR="007C46AD" w:rsidRPr="008810B9">
        <w:instrText xml:space="preserve"> LISTNUM \l 6 </w:instrText>
      </w:r>
      <w:r w:rsidR="007C46AD" w:rsidRPr="008810B9">
        <w:fldChar w:fldCharType="end">
          <w:numberingChange w:id="8" w:author="Schmergel, Chloe" w:date="2022-06-15T13:22:00Z" w:original="(ii)"/>
        </w:fldChar>
      </w:r>
      <w:r w:rsidR="007C46AD">
        <w:t> </w:t>
      </w:r>
      <w:r>
        <w:t>providing information that is not customized for a particular company or that is customized based on parameters that are not developed by the consultant or advisor</w:t>
      </w:r>
      <w:r w:rsidR="002C320D" w:rsidRPr="002C320D">
        <w:t>,</w:t>
      </w:r>
      <w:r>
        <w:t xml:space="preserve"> and about which the consultant or advisor does not provide advice.</w:t>
      </w:r>
    </w:p>
    <w:p w14:paraId="4CD269B0" w14:textId="46A2E3A5" w:rsidR="00B14AE4" w:rsidRPr="004C2D50" w:rsidRDefault="00B14AE4" w:rsidP="00BC3156">
      <w:pPr>
        <w:pStyle w:val="Heading4"/>
        <w:rPr>
          <w:rFonts w:cs="Times New Roman"/>
        </w:rPr>
      </w:pPr>
      <w:r>
        <w:t>The Committee shall receive and review periodic reports on the Company’s compensation plans</w:t>
      </w:r>
      <w:r w:rsidR="002C320D" w:rsidRPr="002C320D">
        <w:t>,</w:t>
      </w:r>
      <w:r>
        <w:t xml:space="preserve"> policies and programs as they affect all employees.</w:t>
      </w:r>
    </w:p>
    <w:p w14:paraId="52FD69F8" w14:textId="54D8B97B" w:rsidR="00DD7836" w:rsidRPr="00DD7836" w:rsidRDefault="00B14AE4" w:rsidP="00DD7836">
      <w:pPr>
        <w:pStyle w:val="Heading4"/>
        <w:rPr>
          <w:rFonts w:cs="Times New Roman"/>
        </w:rPr>
      </w:pPr>
      <w:r>
        <w:t>The Committee shall review and recommend to the Board for approval the frequency with which the Company will conduct Say-on-Pay Votes</w:t>
      </w:r>
      <w:r w:rsidR="002C320D" w:rsidRPr="002C320D">
        <w:t>,</w:t>
      </w:r>
      <w:r>
        <w:t xml:space="preserve"> taking into account the results of the most recent stockholder advisory vote on frequency of Say-on-Pay Votes required by Section 14A of the Exchange Act.</w:t>
      </w:r>
    </w:p>
    <w:p w14:paraId="72D82740" w14:textId="77777777" w:rsidR="00DD7836" w:rsidRPr="00DD7836" w:rsidRDefault="00B14AE4" w:rsidP="00BC3156">
      <w:pPr>
        <w:pStyle w:val="Heading4"/>
        <w:rPr>
          <w:rFonts w:cs="Times New Roman"/>
        </w:rPr>
      </w:pPr>
      <w:r>
        <w:t>The Committee shall oversee management’s engagement with stockholders and proxy advisory firms relating to executive compensation matters.</w:t>
      </w:r>
    </w:p>
    <w:p w14:paraId="386C8381" w14:textId="22CC99E8" w:rsidR="00DD7836" w:rsidRDefault="00DD7836" w:rsidP="00BC3156">
      <w:pPr>
        <w:pStyle w:val="Heading4"/>
        <w:rPr>
          <w:rFonts w:cs="Times New Roman"/>
        </w:rPr>
      </w:pPr>
      <w:r w:rsidRPr="00DD7836">
        <w:rPr>
          <w:rFonts w:cs="Times New Roman"/>
        </w:rPr>
        <w:t>The Committee will prepare and recommend to the Board for adoption a clawback policy that complies with applicable rules and regulations, including the rules and regulations of the Securities and Exchange Commission, and the listing standards of the NASDAQ.</w:t>
      </w:r>
    </w:p>
    <w:p w14:paraId="5CEF48DF" w14:textId="12BBA5D3" w:rsidR="00DD7836" w:rsidRPr="004C2D50" w:rsidRDefault="00DD7836" w:rsidP="00BC3156">
      <w:pPr>
        <w:pStyle w:val="Heading4"/>
        <w:rPr>
          <w:rFonts w:cs="Times New Roman"/>
        </w:rPr>
      </w:pPr>
      <w:r w:rsidRPr="00DD7836">
        <w:rPr>
          <w:rFonts w:cs="Times New Roman"/>
        </w:rPr>
        <w:lastRenderedPageBreak/>
        <w:t>The Committee will evaluate the compensation policies and practices for all employees for any material risks that are reasonably likely to have a material adverse effect on the Company and to align the compensation programs with stockholders’ best interests and avoid motivating the Company’s employees to take excessive risks.</w:t>
      </w:r>
    </w:p>
    <w:p w14:paraId="2E20D54C" w14:textId="77777777" w:rsidR="00B14AE4" w:rsidRPr="004C2D50" w:rsidRDefault="00B14AE4" w:rsidP="00B14AE4">
      <w:pPr>
        <w:pStyle w:val="Heading1"/>
        <w:numPr>
          <w:ilvl w:val="0"/>
          <w:numId w:val="7"/>
        </w:numPr>
        <w:rPr>
          <w:rFonts w:cs="Times New Roman"/>
        </w:rPr>
      </w:pPr>
      <w:r>
        <w:t>Procedures</w:t>
      </w:r>
    </w:p>
    <w:p w14:paraId="3CA39190" w14:textId="5F97B91A" w:rsidR="00B14AE4" w:rsidRPr="004C2D50" w:rsidRDefault="00B14AE4" w:rsidP="00B14AE4">
      <w:pPr>
        <w:pStyle w:val="Heading2"/>
        <w:numPr>
          <w:ilvl w:val="1"/>
          <w:numId w:val="7"/>
        </w:numPr>
        <w:rPr>
          <w:rFonts w:cs="Times New Roman"/>
        </w:rPr>
      </w:pPr>
      <w:r w:rsidRPr="00EF4969">
        <w:rPr>
          <w:b/>
          <w:bCs/>
          <w:i/>
          <w:iCs/>
        </w:rPr>
        <w:t>Meetings</w:t>
      </w:r>
      <w:r>
        <w:t>. The Committee shall meet at the call of its Chair</w:t>
      </w:r>
      <w:r w:rsidR="002C320D" w:rsidRPr="002C320D">
        <w:t>,</w:t>
      </w:r>
      <w:r>
        <w:t xml:space="preserve"> two or more members of the Committee or the Board Chair. The Committee shall meet as frequently as circumstances dictate. Meetings of the Committee may be in person</w:t>
      </w:r>
      <w:r w:rsidR="002C320D" w:rsidRPr="002C320D">
        <w:t>,</w:t>
      </w:r>
      <w:r>
        <w:t xml:space="preserve"> </w:t>
      </w:r>
      <w:r w:rsidR="00331E83">
        <w:t xml:space="preserve">by video conference link, </w:t>
      </w:r>
      <w:r>
        <w:t>by conference call or by unanimous written consent</w:t>
      </w:r>
      <w:r w:rsidR="002C320D" w:rsidRPr="002C320D">
        <w:t>,</w:t>
      </w:r>
      <w:r>
        <w:t xml:space="preserve"> in accordance with the Company’s Bylaws. Meetings of the Committee shall be held at such time and place</w:t>
      </w:r>
      <w:r w:rsidR="002C320D" w:rsidRPr="002C320D">
        <w:t>,</w:t>
      </w:r>
      <w:r>
        <w:t xml:space="preserve"> and upon such notice</w:t>
      </w:r>
      <w:r w:rsidR="002C320D" w:rsidRPr="002C320D">
        <w:t>,</w:t>
      </w:r>
      <w:r>
        <w:t xml:space="preserve"> as its Chair may from time to time determine. </w:t>
      </w:r>
    </w:p>
    <w:p w14:paraId="6A1409B1" w14:textId="222EC431" w:rsidR="00B14AE4" w:rsidRDefault="00B14AE4" w:rsidP="00FA74BD">
      <w:pPr>
        <w:pStyle w:val="BTI3BodyTextIndent10"/>
      </w:pPr>
      <w:r>
        <w:t>Meetings may</w:t>
      </w:r>
      <w:r w:rsidR="002C320D" w:rsidRPr="002C320D">
        <w:t>,</w:t>
      </w:r>
      <w:r>
        <w:t xml:space="preserve"> at the discretion of the Committee</w:t>
      </w:r>
      <w:r w:rsidR="002C320D" w:rsidRPr="002C320D">
        <w:t>,</w:t>
      </w:r>
      <w:r>
        <w:t xml:space="preserve"> include non-Independent Directors</w:t>
      </w:r>
      <w:r w:rsidR="002C320D" w:rsidRPr="002C320D">
        <w:t>,</w:t>
      </w:r>
      <w:r>
        <w:t xml:space="preserve"> members of Management</w:t>
      </w:r>
      <w:r w:rsidR="002C320D" w:rsidRPr="002C320D">
        <w:t>,</w:t>
      </w:r>
      <w:r>
        <w:t xml:space="preserve"> other Company employees</w:t>
      </w:r>
      <w:r w:rsidR="002C320D" w:rsidRPr="002C320D">
        <w:t>,</w:t>
      </w:r>
      <w:r>
        <w:t xml:space="preserve"> independent advisors and consultants or any other persons whose presence the Committee believes to be necessary or appropriate. Those in attendance may observe meetings of the Committee</w:t>
      </w:r>
      <w:r w:rsidR="002C320D" w:rsidRPr="002C320D">
        <w:t>,</w:t>
      </w:r>
      <w:r>
        <w:t xml:space="preserve"> but shall not participate in any discussion or deliberation unless invited to do so by the Committee Chair</w:t>
      </w:r>
      <w:r w:rsidR="002C320D" w:rsidRPr="002C320D">
        <w:t>,</w:t>
      </w:r>
      <w:r>
        <w:t xml:space="preserve"> and in any event shall not be entitled to vote. Notwithstanding the foregoing</w:t>
      </w:r>
      <w:r w:rsidR="002C320D" w:rsidRPr="002C320D">
        <w:t>,</w:t>
      </w:r>
      <w:r>
        <w:t xml:space="preserve"> the Committee may also exclude from its meetings any persons it deems appropriate</w:t>
      </w:r>
      <w:r w:rsidR="002C320D" w:rsidRPr="002C320D">
        <w:t>,</w:t>
      </w:r>
      <w:r>
        <w:t xml:space="preserve"> including</w:t>
      </w:r>
      <w:r w:rsidR="002C320D" w:rsidRPr="002C320D">
        <w:t>,</w:t>
      </w:r>
      <w:r>
        <w:t xml:space="preserve"> but not limited to</w:t>
      </w:r>
      <w:r w:rsidR="002C320D" w:rsidRPr="002C320D">
        <w:t>,</w:t>
      </w:r>
      <w:r>
        <w:t xml:space="preserve"> any director that is not a member of the Committee.</w:t>
      </w:r>
    </w:p>
    <w:p w14:paraId="1DC4B6FA" w14:textId="77777777" w:rsidR="00B14AE4" w:rsidRPr="004C2D50" w:rsidRDefault="00B14AE4" w:rsidP="00B14AE4">
      <w:pPr>
        <w:pStyle w:val="Heading2"/>
        <w:numPr>
          <w:ilvl w:val="1"/>
          <w:numId w:val="7"/>
        </w:numPr>
        <w:rPr>
          <w:rFonts w:cs="Times New Roman"/>
        </w:rPr>
      </w:pPr>
      <w:r w:rsidRPr="00EF4969">
        <w:rPr>
          <w:b/>
          <w:bCs/>
          <w:i/>
          <w:iCs/>
        </w:rPr>
        <w:t>Quorum and Approval</w:t>
      </w:r>
      <w:r>
        <w:t>. A majority of the Committee’s members shall constitute a quorum. The Committee shall act on the affirmative vote of a majority of members present at a meeting at which a quorum is present. The Committee may also act by unanimous written consent in lieu of a meeting.</w:t>
      </w:r>
    </w:p>
    <w:p w14:paraId="1EAC48F9" w14:textId="085E4B13" w:rsidR="00B14AE4" w:rsidRPr="004C2D50" w:rsidRDefault="00B14AE4" w:rsidP="00B14AE4">
      <w:pPr>
        <w:pStyle w:val="Heading2"/>
        <w:numPr>
          <w:ilvl w:val="1"/>
          <w:numId w:val="7"/>
        </w:numPr>
        <w:rPr>
          <w:rFonts w:cs="Times New Roman"/>
        </w:rPr>
      </w:pPr>
      <w:r w:rsidRPr="00EF4969">
        <w:rPr>
          <w:b/>
          <w:bCs/>
          <w:i/>
          <w:iCs/>
        </w:rPr>
        <w:t>Rules</w:t>
      </w:r>
      <w:r>
        <w:t>. The Committee may determine additional rules and procedures</w:t>
      </w:r>
      <w:r w:rsidR="002C320D" w:rsidRPr="002C320D">
        <w:t>,</w:t>
      </w:r>
      <w:r>
        <w:t xml:space="preserve"> including designation of a Chair pro tempore in the absence of its Chair and designation of a secretary of the Committee at any meeting thereof.</w:t>
      </w:r>
    </w:p>
    <w:p w14:paraId="52783C1E" w14:textId="49C7BA19" w:rsidR="00B14AE4" w:rsidRPr="004C2D50" w:rsidRDefault="00B14AE4" w:rsidP="00B14AE4">
      <w:pPr>
        <w:pStyle w:val="Heading2"/>
        <w:numPr>
          <w:ilvl w:val="1"/>
          <w:numId w:val="7"/>
        </w:numPr>
        <w:rPr>
          <w:rFonts w:cs="Times New Roman"/>
        </w:rPr>
      </w:pPr>
      <w:r w:rsidRPr="00EF4969">
        <w:rPr>
          <w:b/>
          <w:bCs/>
          <w:i/>
          <w:iCs/>
        </w:rPr>
        <w:t>Reports</w:t>
      </w:r>
      <w:r>
        <w:t>. The Committee shall maintain minutes of its meetings and make regular oral or written reports to the Board</w:t>
      </w:r>
      <w:r w:rsidR="002C320D" w:rsidRPr="002C320D">
        <w:t>,</w:t>
      </w:r>
      <w:r>
        <w:t xml:space="preserve"> directly or through its Chair</w:t>
      </w:r>
      <w:r w:rsidR="002C320D" w:rsidRPr="002C320D">
        <w:t>,</w:t>
      </w:r>
      <w:r>
        <w:t xml:space="preserve"> of its actions and any recommendations to the Board.</w:t>
      </w:r>
    </w:p>
    <w:p w14:paraId="69A7258F" w14:textId="103DA226" w:rsidR="00B14AE4" w:rsidRPr="004C2D50" w:rsidRDefault="00B14AE4" w:rsidP="00B14AE4">
      <w:pPr>
        <w:pStyle w:val="Heading2"/>
        <w:numPr>
          <w:ilvl w:val="1"/>
          <w:numId w:val="7"/>
        </w:numPr>
        <w:rPr>
          <w:rFonts w:cs="Times New Roman"/>
        </w:rPr>
      </w:pPr>
      <w:r w:rsidRPr="00EF4969">
        <w:rPr>
          <w:b/>
          <w:bCs/>
          <w:i/>
          <w:iCs/>
        </w:rPr>
        <w:t>Review of Charter</w:t>
      </w:r>
      <w:r>
        <w:t>. Each year</w:t>
      </w:r>
      <w:r w:rsidR="002C320D" w:rsidRPr="002C320D">
        <w:t>,</w:t>
      </w:r>
      <w:r>
        <w:t xml:space="preserve"> the Committee shall review the need for changes in this Charter and recommend any proposed changes to the Board for approval.</w:t>
      </w:r>
    </w:p>
    <w:p w14:paraId="4C58D6E9" w14:textId="34A2F901" w:rsidR="00B14AE4" w:rsidRPr="000B557F" w:rsidRDefault="00B14AE4" w:rsidP="00B14AE4">
      <w:pPr>
        <w:pStyle w:val="Heading2"/>
        <w:numPr>
          <w:ilvl w:val="1"/>
          <w:numId w:val="7"/>
        </w:numPr>
        <w:rPr>
          <w:rFonts w:cs="Times New Roman"/>
        </w:rPr>
      </w:pPr>
      <w:r w:rsidRPr="00EF4969">
        <w:rPr>
          <w:b/>
          <w:bCs/>
          <w:i/>
          <w:iCs/>
        </w:rPr>
        <w:t>Performance Review</w:t>
      </w:r>
      <w:r>
        <w:t>. Each year</w:t>
      </w:r>
      <w:r w:rsidR="002C320D" w:rsidRPr="002C320D">
        <w:t>,</w:t>
      </w:r>
      <w:r>
        <w:t xml:space="preserve"> the Committee shall review and evaluate its own performance and shall submit itself to a review and evaluation by the Board.</w:t>
      </w:r>
    </w:p>
    <w:p w14:paraId="6B377187" w14:textId="4A9785B9" w:rsidR="000B557F" w:rsidRPr="000B557F" w:rsidRDefault="000B557F" w:rsidP="000B557F">
      <w:pPr>
        <w:pStyle w:val="Heading2"/>
        <w:numPr>
          <w:ilvl w:val="1"/>
          <w:numId w:val="7"/>
        </w:numPr>
        <w:rPr>
          <w:rFonts w:cs="Times New Roman"/>
        </w:rPr>
      </w:pPr>
      <w:r>
        <w:rPr>
          <w:rFonts w:cs="Times New Roman"/>
          <w:b/>
          <w:i/>
          <w:szCs w:val="24"/>
        </w:rPr>
        <w:t>Fees; Reimbursement of Expenses</w:t>
      </w:r>
      <w:r>
        <w:rPr>
          <w:rFonts w:cs="Times New Roman"/>
          <w:szCs w:val="24"/>
        </w:rPr>
        <w:t xml:space="preserve">.  Each member of the Committee as well as the Chairman will be paid the fee set by the Board for his or her services as a member or Chairman, as the case may be, of the Committee.  Subject to the Company’s Corporate Governance Guidelines and other policies, Committee members, </w:t>
      </w:r>
      <w:r>
        <w:rPr>
          <w:rFonts w:cs="Times New Roman"/>
          <w:szCs w:val="24"/>
        </w:rPr>
        <w:lastRenderedPageBreak/>
        <w:t>including the Chairman, will be reimbursed by the Company for all reasonable expenses incurred in connection with their duties as Committee members.</w:t>
      </w:r>
    </w:p>
    <w:p w14:paraId="07397B12" w14:textId="77777777" w:rsidR="00B14AE4" w:rsidRPr="004C2D50" w:rsidRDefault="00B14AE4" w:rsidP="00B14AE4">
      <w:pPr>
        <w:pStyle w:val="Heading1"/>
        <w:numPr>
          <w:ilvl w:val="0"/>
          <w:numId w:val="7"/>
        </w:numPr>
        <w:rPr>
          <w:rFonts w:cs="Times New Roman"/>
        </w:rPr>
      </w:pPr>
      <w:r>
        <w:t>Posting Requirement</w:t>
      </w:r>
    </w:p>
    <w:p w14:paraId="43330D86" w14:textId="085EEFFA" w:rsidR="00B14AE4" w:rsidRDefault="00B14AE4" w:rsidP="00B14AE4">
      <w:pPr>
        <w:pStyle w:val="BTBodyText"/>
      </w:pPr>
      <w:r>
        <w:t>The Company shall post this Charter on the Company’s website as required by applicable rules and regulations. In addition</w:t>
      </w:r>
      <w:r w:rsidR="002C320D" w:rsidRPr="002C320D">
        <w:t>,</w:t>
      </w:r>
      <w:r>
        <w:t xml:space="preserve"> the Company shall disclose in its Proxy Statement that a copy of this Charter is available on the Company’s website</w:t>
      </w:r>
      <w:r w:rsidR="000B557F" w:rsidRPr="000B557F">
        <w:t xml:space="preserve"> </w:t>
      </w:r>
      <w:r w:rsidR="000B557F">
        <w:t>and provide the website address</w:t>
      </w:r>
      <w:r>
        <w:t>.</w:t>
      </w:r>
    </w:p>
    <w:p w14:paraId="189A990F" w14:textId="77777777" w:rsidR="00B14AE4" w:rsidRDefault="00B14AE4" w:rsidP="00FA74BD">
      <w:pPr>
        <w:pStyle w:val="CTCenteredText"/>
      </w:pPr>
      <w:r>
        <w:t>* * *</w:t>
      </w:r>
    </w:p>
    <w:p w14:paraId="7DEEA3F2" w14:textId="71AB63D2" w:rsidR="00B14AE4" w:rsidRPr="0018784D" w:rsidRDefault="00B14AE4" w:rsidP="00B14AE4">
      <w:pPr>
        <w:pStyle w:val="BTBodyText"/>
      </w:pPr>
      <w:r>
        <w:t>While the Committee members have the duties and responsibilities set forth in this Charter</w:t>
      </w:r>
      <w:r w:rsidR="002C320D" w:rsidRPr="002C320D">
        <w:t>,</w:t>
      </w:r>
      <w:r>
        <w:t xml:space="preserve"> nothing contained in this Charter is intended to create</w:t>
      </w:r>
      <w:r w:rsidR="002C320D" w:rsidRPr="002C320D">
        <w:t>,</w:t>
      </w:r>
      <w:r>
        <w:t xml:space="preserve"> or should be construed as creating</w:t>
      </w:r>
      <w:r w:rsidR="002C320D" w:rsidRPr="002C320D">
        <w:t>,</w:t>
      </w:r>
      <w:r>
        <w:t xml:space="preserve"> any responsibility or liability of the Committee members</w:t>
      </w:r>
      <w:r w:rsidR="002C320D" w:rsidRPr="002C320D">
        <w:t>,</w:t>
      </w:r>
      <w:r>
        <w:t xml:space="preserve"> except to the extent otherwise provided under applicable federal or state law.</w:t>
      </w:r>
    </w:p>
    <w:sectPr w:rsidR="00B14AE4" w:rsidRPr="0018784D" w:rsidSect="009C17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175C" w14:textId="77777777" w:rsidR="009B7405" w:rsidRDefault="009B7405">
      <w:r>
        <w:separator/>
      </w:r>
    </w:p>
  </w:endnote>
  <w:endnote w:type="continuationSeparator" w:id="0">
    <w:p w14:paraId="1BEAD53A" w14:textId="77777777" w:rsidR="009B7405" w:rsidRDefault="009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FED3" w14:textId="77777777" w:rsidR="00923785" w:rsidRDefault="0092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0388"/>
      <w:docPartObj>
        <w:docPartGallery w:val="Page Numbers (Bottom of Page)"/>
        <w:docPartUnique/>
      </w:docPartObj>
    </w:sdtPr>
    <w:sdtEndPr>
      <w:rPr>
        <w:noProof/>
      </w:rPr>
    </w:sdtEndPr>
    <w:sdtContent>
      <w:p w14:paraId="5D78CE01" w14:textId="227B3D8A" w:rsidR="00E12586" w:rsidRDefault="00E12586" w:rsidP="008F0529">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54FB" w14:textId="77777777" w:rsidR="00923785" w:rsidRDefault="0092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0363" w14:textId="77777777" w:rsidR="009B7405" w:rsidRDefault="009B7405">
      <w:r>
        <w:separator/>
      </w:r>
    </w:p>
  </w:footnote>
  <w:footnote w:type="continuationSeparator" w:id="0">
    <w:p w14:paraId="3A58984D" w14:textId="77777777" w:rsidR="009B7405" w:rsidRDefault="009B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B33" w14:textId="77777777" w:rsidR="00923785" w:rsidRDefault="0092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FAC7" w14:textId="77777777" w:rsidR="00923785" w:rsidRDefault="0092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ED3B" w14:textId="77777777" w:rsidR="00923785" w:rsidRDefault="0092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8EE"/>
    <w:multiLevelType w:val="hybridMultilevel"/>
    <w:tmpl w:val="91EA5138"/>
    <w:name w:val="LN1 ListNumber"/>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0010B3D4"/>
    <w:name w:val="LB ListBullet"/>
    <w:lvl w:ilvl="0" w:tplc="6E726A1E">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2428"/>
    <w:multiLevelType w:val="multilevel"/>
    <w:tmpl w:val="7DA819E8"/>
    <w:name w:val="I.A.1.a. - Indent"/>
    <w:lvl w:ilvl="0">
      <w:start w:val="1"/>
      <w:numFmt w:val="upperRoman"/>
      <w:lvlRestart w:val="0"/>
      <w:pStyle w:val="Heading1"/>
      <w:lvlText w:val="%1."/>
      <w:lvlJc w:val="left"/>
      <w:pPr>
        <w:tabs>
          <w:tab w:val="num" w:pos="72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Heading2"/>
      <w:lvlText w:val="%2."/>
      <w:lvlJc w:val="left"/>
      <w:pPr>
        <w:tabs>
          <w:tab w:val="num" w:pos="72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3">
      <w:start w:val="1"/>
      <w:numFmt w:val="decimal"/>
      <w:lvlRestart w:val="0"/>
      <w:pStyle w:val="Heading4"/>
      <w:lvlText w:val="%4."/>
      <w:lvlJc w:val="left"/>
      <w:pPr>
        <w:tabs>
          <w:tab w:val="num" w:pos="72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Heading5"/>
      <w:lvlText w:val="(%5)"/>
      <w:lvlJc w:val="left"/>
      <w:pPr>
        <w:tabs>
          <w:tab w:val="num" w:pos="720"/>
        </w:tabs>
        <w:ind w:left="2880" w:hanging="720"/>
      </w:pPr>
      <w:rPr>
        <w:b w:val="0"/>
        <w:i w:val="0"/>
        <w:caps w:val="0"/>
        <w:strike w:val="0"/>
        <w:dstrike w:val="0"/>
        <w:vanish w:val="0"/>
        <w:color w:val="auto"/>
        <w:sz w:val="24"/>
        <w:u w:val="none"/>
        <w:vertAlign w:val="baseline"/>
      </w:rPr>
    </w:lvl>
    <w:lvl w:ilvl="5">
      <w:start w:val="1"/>
      <w:numFmt w:val="lowerRoman"/>
      <w:pStyle w:val="Heading6"/>
      <w:lvlText w:val="(%6)"/>
      <w:lvlJc w:val="left"/>
      <w:pPr>
        <w:tabs>
          <w:tab w:val="num" w:pos="720"/>
        </w:tabs>
        <w:ind w:left="3600" w:hanging="720"/>
      </w:pPr>
      <w:rPr>
        <w:b w:val="0"/>
        <w:i w:val="0"/>
        <w:caps w:val="0"/>
        <w:strike w:val="0"/>
        <w:dstrike w:val="0"/>
        <w:vanish w:val="0"/>
        <w:color w:val="auto"/>
        <w:sz w:val="24"/>
        <w:u w:val="none"/>
        <w:vertAlign w:val="baseline"/>
      </w:rPr>
    </w:lvl>
    <w:lvl w:ilvl="6">
      <w:start w:val="1"/>
      <w:numFmt w:val="upperLetter"/>
      <w:pStyle w:val="Heading7"/>
      <w:lvlText w:val="(%7)"/>
      <w:lvlJc w:val="left"/>
      <w:pPr>
        <w:tabs>
          <w:tab w:val="num" w:pos="720"/>
        </w:tabs>
        <w:ind w:left="4320" w:hanging="720"/>
      </w:pPr>
      <w:rPr>
        <w:b w:val="0"/>
        <w:i w:val="0"/>
        <w:caps w:val="0"/>
        <w:strike w:val="0"/>
        <w:dstrike w:val="0"/>
        <w:vanish w:val="0"/>
        <w:color w:val="auto"/>
        <w:sz w:val="24"/>
        <w:u w:val="none"/>
        <w:vertAlign w:val="baseline"/>
      </w:rPr>
    </w:lvl>
    <w:lvl w:ilvl="7">
      <w:start w:val="1"/>
      <w:numFmt w:val="none"/>
      <w:pStyle w:val="Heading8"/>
      <w:suff w:val="nothing"/>
      <w:lvlText w:val=""/>
      <w:lvlJc w:val="left"/>
      <w:pPr>
        <w:tabs>
          <w:tab w:val="num" w:pos="5760"/>
        </w:tabs>
        <w:ind w:left="0" w:firstLine="0"/>
      </w:pPr>
      <w:rPr>
        <w:b w:val="0"/>
        <w:i w:val="0"/>
        <w:caps w:val="0"/>
        <w:strike w:val="0"/>
        <w:dstrike w:val="0"/>
        <w:vanish w:val="0"/>
        <w:color w:val="auto"/>
        <w:sz w:val="24"/>
        <w:u w:val="none"/>
        <w:vertAlign w:val="baseline"/>
      </w:rPr>
    </w:lvl>
    <w:lvl w:ilvl="8">
      <w:start w:val="1"/>
      <w:numFmt w:val="none"/>
      <w:pStyle w:val="Heading9"/>
      <w:suff w:val="nothing"/>
      <w:lvlText w:val=""/>
      <w:lvlJc w:val="left"/>
      <w:pPr>
        <w:tabs>
          <w:tab w:val="num" w:pos="6480"/>
        </w:tabs>
        <w:ind w:left="0" w:firstLine="0"/>
      </w:pPr>
      <w:rPr>
        <w:b w:val="0"/>
        <w:i w:val="0"/>
        <w:caps w:val="0"/>
        <w:strike w:val="0"/>
        <w:dstrike w:val="0"/>
        <w:vanish w:val="0"/>
        <w:color w:val="auto"/>
        <w:sz w:val="24"/>
        <w:u w:val="none"/>
        <w:vertAlign w:val="baseline"/>
      </w:rPr>
    </w:lvl>
  </w:abstractNum>
  <w:abstractNum w:abstractNumId="3" w15:restartNumberingAfterBreak="0">
    <w:nsid w:val="37EB6473"/>
    <w:multiLevelType w:val="multilevel"/>
    <w:tmpl w:val="AB0A4D88"/>
    <w:name w:val="Bullet_outlinedc"/>
    <w:lvl w:ilvl="0">
      <w:start w:val="2147483647"/>
      <w:numFmt w:val="bullet"/>
      <w:lvlText w:val="·"/>
      <w:lvlJc w:val="left"/>
      <w:pPr>
        <w:ind w:left="0" w:firstLine="72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95231"/>
    <w:multiLevelType w:val="hybridMultilevel"/>
    <w:tmpl w:val="2786B74A"/>
    <w:name w:val="LN2 ListNumber"/>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
  </w:num>
  <w:num w:numId="5">
    <w:abstractNumId w:val="0"/>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ergel, Chloe">
    <w15:presenceInfo w15:providerId="AD" w15:userId="S::cschmergel@velaw.com::7ba39172-443a-409d-b99a-112693a45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 w:name="ForteTempFile" w:val="C:\Users\200114\AppData\Local\Temp\4cfedefd-0b67-4eba-9a1c-09acad04e1fc.docx"/>
    <w:docVar w:name="LegacyDocIDRemoved" w:val="True"/>
    <w:docVar w:name="mpo64102699" w:val="BlankDocument_{4C2BAE4316C74D22BBA30437CB6E8677}ÌÍ^`~#mp!@Y⌍/#-┕┨5458}|mŗXáS„d⌓ApÓ'ˊ:Q;],Úå⌒!․”Úx⌎NM’4⌂UÒ@ôˇùRaAµÀâßs&gt;xÓ⌄Ŕs⌝⌊&quot;bág‴⌏gQ¼ý¾42«ê⌜s⌂o¬ΩÑf;æ⌕⌝ì¤‥⌈O⌉·Á⌜5æÖk⌟Aï1$⌎ÖÅ⌎%æ⌓bj‽ìÛ^⌗⌎n⌈¥HŤÈº⌙tÚ⌝ö‗bQQCP•⌘1ûÍq⌙äU⌔⌜¥Ä„»ÓI—sN~s⌕ŹæJ⌔5ñíż*ºO8Õ@ðSƖè\5g«¹⌠µÑ9ÛË&quot;dÖ¡Ì&lt;7⌗v*²V⌜PÒ¶\„f~⌊Àqÿñ«V²GÖL°¥J&gt;,­×9Ô―⌞×ì‴⌗tÊÑÿÄMy_×ðaóJÉY⌞AªßiÑ·Úé7®:9⌝LË½S‽⌟Uö)ÿh%¨ë‚⌒xæíw⌉SGxë¹úáMG1ùlíÀ—⌌!ôfm⌠⌟©ˇ}j{Ê9Â6⌂?⌕—ƂUÆ¸­R⌉Üú⌒/|ÒYmVPƁx(⌄⌑æTâ+pôQò]°…M⌛.⌑w&quot;´!òÍ5ÓT¿Òª¹¨P{ÅÚÞŹ­‘:ÜýZÙ¯æÞsº_­G⌓&lt;êÆÆ—^Í—[ß#pL·Ç­nóÙ⌚Â/⌡7⌄⌜hs½Ť⌋DqG®³ŗ⌒»⌛ÄÅ!ºÂV°v„Ë‘4òDñ$⌆Èè⌃⌇011"/>
    <w:docVar w:name="zzmp10mSEGsValidated" w:val="1"/>
    <w:docVar w:name="zzmp10TP" w:val="66594"/>
    <w:docVar w:name="zzmpCompatibilityMode" w:val="15"/>
  </w:docVars>
  <w:rsids>
    <w:rsidRoot w:val="00385469"/>
    <w:rsid w:val="000260C1"/>
    <w:rsid w:val="000B557F"/>
    <w:rsid w:val="001430E9"/>
    <w:rsid w:val="0018784D"/>
    <w:rsid w:val="001A18C6"/>
    <w:rsid w:val="002C320D"/>
    <w:rsid w:val="00303852"/>
    <w:rsid w:val="00313940"/>
    <w:rsid w:val="00331E83"/>
    <w:rsid w:val="00385469"/>
    <w:rsid w:val="00490992"/>
    <w:rsid w:val="004A43F2"/>
    <w:rsid w:val="005F2EDC"/>
    <w:rsid w:val="007C46AD"/>
    <w:rsid w:val="00871550"/>
    <w:rsid w:val="008F0529"/>
    <w:rsid w:val="00923785"/>
    <w:rsid w:val="009B7405"/>
    <w:rsid w:val="009C1746"/>
    <w:rsid w:val="009D5E2A"/>
    <w:rsid w:val="00A35F9C"/>
    <w:rsid w:val="00AE5CE5"/>
    <w:rsid w:val="00B14AE4"/>
    <w:rsid w:val="00B324F8"/>
    <w:rsid w:val="00B44E44"/>
    <w:rsid w:val="00BC3156"/>
    <w:rsid w:val="00BC7050"/>
    <w:rsid w:val="00CA1A0B"/>
    <w:rsid w:val="00DD7836"/>
    <w:rsid w:val="00E12586"/>
    <w:rsid w:val="00E22BFF"/>
    <w:rsid w:val="00E52152"/>
    <w:rsid w:val="00EB7180"/>
    <w:rsid w:val="00EF4969"/>
    <w:rsid w:val="00FA74BD"/>
    <w:rsid w:val="00FD4DC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951CB"/>
  <w15:chartTrackingRefBased/>
  <w15:docId w15:val="{04AF4B92-F0DC-4A97-ACAA-7DF7095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50"/>
    <w:pPr>
      <w:spacing w:after="240"/>
      <w:jc w:val="both"/>
    </w:pPr>
    <w:rPr>
      <w:sz w:val="24"/>
    </w:rPr>
  </w:style>
  <w:style w:type="paragraph" w:styleId="Heading1">
    <w:name w:val="heading 1"/>
    <w:basedOn w:val="Normal"/>
    <w:link w:val="Heading1Char"/>
    <w:uiPriority w:val="99"/>
    <w:qFormat/>
    <w:rsid w:val="00BC7050"/>
    <w:pPr>
      <w:numPr>
        <w:numId w:val="14"/>
      </w:numPr>
      <w:outlineLvl w:val="0"/>
    </w:pPr>
    <w:rPr>
      <w:rFonts w:eastAsiaTheme="majorEastAsia" w:cstheme="majorBidi"/>
      <w:b/>
      <w:szCs w:val="32"/>
    </w:rPr>
  </w:style>
  <w:style w:type="paragraph" w:styleId="Heading2">
    <w:name w:val="heading 2"/>
    <w:basedOn w:val="Normal"/>
    <w:link w:val="Heading2Char"/>
    <w:uiPriority w:val="99"/>
    <w:unhideWhenUsed/>
    <w:qFormat/>
    <w:rsid w:val="00BC7050"/>
    <w:pPr>
      <w:numPr>
        <w:ilvl w:val="1"/>
        <w:numId w:val="14"/>
      </w:numPr>
      <w:outlineLvl w:val="1"/>
    </w:pPr>
    <w:rPr>
      <w:rFonts w:eastAsiaTheme="majorEastAsia" w:cstheme="majorBidi"/>
      <w:szCs w:val="26"/>
    </w:rPr>
  </w:style>
  <w:style w:type="paragraph" w:styleId="Heading3">
    <w:name w:val="heading 3"/>
    <w:basedOn w:val="Normal"/>
    <w:link w:val="Heading3Char"/>
    <w:uiPriority w:val="99"/>
    <w:unhideWhenUsed/>
    <w:qFormat/>
    <w:rsid w:val="00B44E44"/>
    <w:pPr>
      <w:numPr>
        <w:ilvl w:val="2"/>
        <w:numId w:val="7"/>
      </w:numPr>
      <w:outlineLvl w:val="2"/>
    </w:pPr>
    <w:rPr>
      <w:rFonts w:eastAsiaTheme="majorEastAsia" w:cstheme="majorBidi"/>
      <w:i/>
      <w:u w:val="single"/>
    </w:rPr>
  </w:style>
  <w:style w:type="paragraph" w:styleId="Heading4">
    <w:name w:val="heading 4"/>
    <w:basedOn w:val="Normal"/>
    <w:link w:val="Heading4Char"/>
    <w:uiPriority w:val="99"/>
    <w:unhideWhenUsed/>
    <w:qFormat/>
    <w:rsid w:val="00B44E44"/>
    <w:pPr>
      <w:numPr>
        <w:ilvl w:val="3"/>
        <w:numId w:val="7"/>
      </w:numPr>
      <w:outlineLvl w:val="3"/>
    </w:pPr>
    <w:rPr>
      <w:rFonts w:eastAsiaTheme="majorEastAsia" w:cstheme="majorBidi"/>
      <w:iCs/>
    </w:rPr>
  </w:style>
  <w:style w:type="paragraph" w:styleId="Heading5">
    <w:name w:val="heading 5"/>
    <w:basedOn w:val="Normal"/>
    <w:link w:val="Heading5Char"/>
    <w:uiPriority w:val="99"/>
    <w:unhideWhenUsed/>
    <w:qFormat/>
    <w:pPr>
      <w:numPr>
        <w:ilvl w:val="4"/>
        <w:numId w:val="7"/>
      </w:numPr>
      <w:tabs>
        <w:tab w:val="left" w:pos="3600"/>
      </w:tabs>
      <w:outlineLvl w:val="4"/>
    </w:pPr>
    <w:rPr>
      <w:rFonts w:eastAsiaTheme="majorEastAsia" w:cstheme="majorBidi"/>
    </w:rPr>
  </w:style>
  <w:style w:type="paragraph" w:styleId="Heading6">
    <w:name w:val="heading 6"/>
    <w:basedOn w:val="Normal"/>
    <w:link w:val="Heading6Char"/>
    <w:uiPriority w:val="99"/>
    <w:unhideWhenUsed/>
    <w:qFormat/>
    <w:pPr>
      <w:numPr>
        <w:ilvl w:val="5"/>
        <w:numId w:val="7"/>
      </w:numPr>
      <w:tabs>
        <w:tab w:val="left" w:pos="4320"/>
      </w:tabs>
      <w:outlineLvl w:val="5"/>
    </w:pPr>
    <w:rPr>
      <w:rFonts w:eastAsiaTheme="majorEastAsia" w:cstheme="majorBidi"/>
    </w:rPr>
  </w:style>
  <w:style w:type="paragraph" w:styleId="Heading7">
    <w:name w:val="heading 7"/>
    <w:basedOn w:val="Normal"/>
    <w:link w:val="Heading7Char"/>
    <w:uiPriority w:val="99"/>
    <w:unhideWhenUsed/>
    <w:qFormat/>
    <w:pPr>
      <w:numPr>
        <w:ilvl w:val="6"/>
        <w:numId w:val="7"/>
      </w:numPr>
      <w:tabs>
        <w:tab w:val="left" w:pos="5040"/>
      </w:tabs>
      <w:outlineLvl w:val="6"/>
    </w:pPr>
    <w:rPr>
      <w:rFonts w:eastAsiaTheme="majorEastAsia" w:cstheme="majorBidi"/>
      <w:iCs/>
    </w:rPr>
  </w:style>
  <w:style w:type="paragraph" w:styleId="Heading8">
    <w:name w:val="heading 8"/>
    <w:basedOn w:val="Normal"/>
    <w:link w:val="Heading8Char"/>
    <w:uiPriority w:val="99"/>
    <w:unhideWhenUsed/>
    <w:qFormat/>
    <w:pPr>
      <w:numPr>
        <w:ilvl w:val="7"/>
        <w:numId w:val="14"/>
      </w:numPr>
      <w:tabs>
        <w:tab w:val="left" w:pos="5760"/>
      </w:tabs>
      <w:outlineLvl w:val="7"/>
    </w:pPr>
    <w:rPr>
      <w:rFonts w:eastAsiaTheme="majorEastAsia" w:cstheme="majorBidi"/>
      <w:szCs w:val="21"/>
    </w:rPr>
  </w:style>
  <w:style w:type="paragraph" w:styleId="Heading9">
    <w:name w:val="heading 9"/>
    <w:basedOn w:val="Normal"/>
    <w:link w:val="Heading9Char"/>
    <w:uiPriority w:val="99"/>
    <w:unhideWhenUsed/>
    <w:qFormat/>
    <w:pPr>
      <w:numPr>
        <w:ilvl w:val="8"/>
        <w:numId w:val="14"/>
      </w:numPr>
      <w:tabs>
        <w:tab w:val="left" w:pos="6480"/>
      </w:tab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TextContinued">
    <w:name w:val="Body Text Continued"/>
    <w:basedOn w:val="BodyText"/>
    <w:next w:val="BodyText"/>
  </w:style>
  <w:style w:type="character" w:styleId="PageNumber">
    <w:name w:val="page number"/>
    <w:basedOn w:val="DefaultParagraphFont"/>
    <w:uiPriority w:val="99"/>
    <w:semiHidden/>
    <w:unhideWhenUsed/>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customStyle="1" w:styleId="BLBlock">
    <w:name w:val="BL Block"/>
    <w:basedOn w:val="Normal"/>
    <w:uiPriority w:val="1"/>
    <w:qFormat/>
    <w:pPr>
      <w:ind w:left="1440" w:right="1440"/>
    </w:p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i/>
      <w:iCs/>
      <w:spacing w:val="5"/>
    </w:rPr>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3BodyTextIndent10">
    <w:name w:val="BTI3 Body Text Indent 1.0"/>
    <w:basedOn w:val="Normal"/>
    <w:uiPriority w:val="1"/>
    <w:qFormat/>
    <w:pPr>
      <w:ind w:left="144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character" w:customStyle="1" w:styleId="DocID">
    <w:name w:val="DocID"/>
    <w:basedOn w:val="DefaultParagraphFont"/>
    <w:uiPriority w:val="99"/>
    <w:semiHidden/>
    <w:rPr>
      <w:sz w:val="18"/>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9"/>
    <w:rsid w:val="00BC7050"/>
    <w:rPr>
      <w:rFonts w:eastAsiaTheme="majorEastAsia" w:cstheme="majorBidi"/>
      <w:b/>
      <w:sz w:val="24"/>
      <w:szCs w:val="32"/>
    </w:rPr>
  </w:style>
  <w:style w:type="character" w:customStyle="1" w:styleId="Heading2Char">
    <w:name w:val="Heading 2 Char"/>
    <w:basedOn w:val="DefaultParagraphFont"/>
    <w:link w:val="Heading2"/>
    <w:uiPriority w:val="99"/>
    <w:rsid w:val="00BC7050"/>
    <w:rPr>
      <w:rFonts w:eastAsiaTheme="majorEastAsia" w:cstheme="majorBidi"/>
      <w:sz w:val="24"/>
      <w:szCs w:val="26"/>
    </w:rPr>
  </w:style>
  <w:style w:type="character" w:customStyle="1" w:styleId="Heading3Char">
    <w:name w:val="Heading 3 Char"/>
    <w:basedOn w:val="DefaultParagraphFont"/>
    <w:link w:val="Heading3"/>
    <w:uiPriority w:val="99"/>
    <w:rsid w:val="00B44E44"/>
    <w:rPr>
      <w:rFonts w:eastAsiaTheme="majorEastAsia" w:cstheme="majorBidi"/>
      <w:i/>
      <w:sz w:val="24"/>
      <w:u w:val="single"/>
    </w:rPr>
  </w:style>
  <w:style w:type="character" w:customStyle="1" w:styleId="Heading4Char">
    <w:name w:val="Heading 4 Char"/>
    <w:basedOn w:val="DefaultParagraphFont"/>
    <w:link w:val="Heading4"/>
    <w:uiPriority w:val="99"/>
    <w:rsid w:val="00B44E44"/>
    <w:rPr>
      <w:rFonts w:eastAsiaTheme="majorEastAsia" w:cstheme="majorBidi"/>
      <w:iCs/>
      <w:sz w:val="24"/>
    </w:rPr>
  </w:style>
  <w:style w:type="character" w:customStyle="1" w:styleId="Heading5Char">
    <w:name w:val="Heading 5 Char"/>
    <w:basedOn w:val="DefaultParagraphFont"/>
    <w:link w:val="Heading5"/>
    <w:uiPriority w:val="99"/>
    <w:rPr>
      <w:rFonts w:eastAsiaTheme="majorEastAsia" w:cstheme="majorBidi"/>
      <w:sz w:val="24"/>
    </w:rPr>
  </w:style>
  <w:style w:type="character" w:customStyle="1" w:styleId="Heading6Char">
    <w:name w:val="Heading 6 Char"/>
    <w:basedOn w:val="DefaultParagraphFont"/>
    <w:link w:val="Heading6"/>
    <w:uiPriority w:val="99"/>
    <w:rPr>
      <w:rFonts w:eastAsiaTheme="majorEastAsia" w:cstheme="majorBidi"/>
      <w:sz w:val="24"/>
    </w:rPr>
  </w:style>
  <w:style w:type="character" w:customStyle="1" w:styleId="Heading7Char">
    <w:name w:val="Heading 7 Char"/>
    <w:basedOn w:val="DefaultParagraphFont"/>
    <w:link w:val="Heading7"/>
    <w:uiPriority w:val="99"/>
    <w:rPr>
      <w:rFonts w:eastAsiaTheme="majorEastAsia" w:cstheme="majorBidi"/>
      <w:iCs/>
      <w:sz w:val="24"/>
    </w:rPr>
  </w:style>
  <w:style w:type="character" w:customStyle="1" w:styleId="Heading8Char">
    <w:name w:val="Heading 8 Char"/>
    <w:basedOn w:val="DefaultParagraphFont"/>
    <w:link w:val="Heading8"/>
    <w:uiPriority w:val="99"/>
    <w:semiHidden/>
    <w:rPr>
      <w:rFonts w:eastAsiaTheme="majorEastAsia" w:cstheme="majorBidi"/>
      <w:sz w:val="24"/>
      <w:szCs w:val="21"/>
    </w:rPr>
  </w:style>
  <w:style w:type="character" w:customStyle="1" w:styleId="Heading9Char">
    <w:name w:val="Heading 9 Char"/>
    <w:basedOn w:val="DefaultParagraphFont"/>
    <w:link w:val="Heading9"/>
    <w:uiPriority w:val="99"/>
    <w:semiHidden/>
    <w:rPr>
      <w:rFonts w:eastAsiaTheme="majorEastAsia" w:cstheme="majorBidi"/>
      <w:iCs/>
      <w:sz w:val="24"/>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i/>
      <w:iCs/>
      <w:color w:val="5B9BD5" w:themeColor="accent1"/>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IntenseReference">
    <w:name w:val="Intense Reference"/>
    <w:basedOn w:val="DefaultParagraphFont"/>
    <w:uiPriority w:val="32"/>
    <w:semiHidden/>
    <w:qFormat/>
    <w:rPr>
      <w:b/>
      <w:bCs/>
      <w:smallCaps/>
      <w:color w:val="5B9BD5" w:themeColor="accent1"/>
      <w:spacing w:val="5"/>
    </w:rPr>
  </w:style>
  <w:style w:type="paragraph" w:customStyle="1" w:styleId="LBListBullet">
    <w:name w:val="LB ListBullet"/>
    <w:basedOn w:val="Normal"/>
    <w:autoRedefine/>
    <w:uiPriority w:val="1"/>
    <w:qFormat/>
    <w:rsid w:val="00BC3156"/>
    <w:pPr>
      <w:numPr>
        <w:numId w:val="1"/>
      </w:numPr>
      <w:ind w:left="2880"/>
    </w:pPr>
  </w:style>
  <w:style w:type="character" w:styleId="LineNumber">
    <w:name w:val="line number"/>
    <w:basedOn w:val="DefaultParagraphFont"/>
    <w:uiPriority w:val="99"/>
    <w:semiHidden/>
    <w:unhideWhenUsed/>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qFormat/>
    <w:pPr>
      <w:jc w:val="both"/>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spacing w:after="0"/>
      <w:jc w:val="left"/>
    </w:p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paragraph" w:customStyle="1" w:styleId="SUSubtitle">
    <w:name w:val="SU Subtitle"/>
    <w:basedOn w:val="Normal"/>
    <w:next w:val="BTBodyText"/>
    <w:uiPriority w:val="1"/>
    <w:qFormat/>
    <w:pPr>
      <w:keepNext/>
      <w:jc w:val="center"/>
      <w:outlineLvl w:val="1"/>
    </w:pPr>
    <w:rPr>
      <w:b/>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semiHidden/>
    <w:qFormat/>
    <w:rPr>
      <w:i/>
      <w:iCs/>
      <w:color w:val="404040" w:themeColor="text1" w:themeTint="BF"/>
    </w:rPr>
  </w:style>
  <w:style w:type="character" w:styleId="SubtleReference">
    <w:name w:val="Subtle Reference"/>
    <w:basedOn w:val="DefaultParagraphFont"/>
    <w:uiPriority w:val="31"/>
    <w:semiHidden/>
    <w:qFormat/>
    <w:rPr>
      <w:smallCaps/>
      <w:color w:val="5A5A5A" w:themeColor="text1" w:themeTint="A5"/>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spacing w:before="240"/>
      <w:outlineLvl w:val="9"/>
    </w:pPr>
    <w:rPr>
      <w:rFonts w:asciiTheme="majorHAnsi" w:hAnsiTheme="majorHAnsi"/>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ForteNormal.dotx</Template>
  <TotalTime>1</TotalTime>
  <Pages>7</Pages>
  <Words>2436</Words>
  <Characters>13625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GDOCS</dc:creator>
  <cp:lastModifiedBy>Frey, John</cp:lastModifiedBy>
  <cp:revision>4</cp:revision>
  <dcterms:created xsi:type="dcterms:W3CDTF">2022-06-29T21:18:00Z</dcterms:created>
  <dcterms:modified xsi:type="dcterms:W3CDTF">2022-06-29T21:18:00Z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8983791</vt:lpwstr>
  </property>
  <property fmtid="{D5CDD505-2E9C-101B-9397-08002B2CF9AE}" pid="3" name="DocumentVersion">
    <vt:lpwstr>2</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642827</vt:lpwstr>
  </property>
  <property fmtid="{D5CDD505-2E9C-101B-9397-08002B2CF9AE}" pid="10" name="AuthorName">
    <vt:lpwstr>643249</vt:lpwstr>
  </property>
  <property fmtid="{D5CDD505-2E9C-101B-9397-08002B2CF9AE}" pid="11" name="InUseBy">
    <vt:lpwstr>642827</vt:lpwstr>
  </property>
  <property fmtid="{D5CDD505-2E9C-101B-9397-08002B2CF9AE}" pid="12" name="EditDate">
    <vt:lpwstr>6/29/2022 9:18:12 PM</vt:lpwstr>
  </property>
  <property fmtid="{D5CDD505-2E9C-101B-9397-08002B2CF9AE}" pid="13" name="EditTime">
    <vt:lpwstr/>
  </property>
  <property fmtid="{D5CDD505-2E9C-101B-9397-08002B2CF9AE}" pid="14" name="DocID">
    <vt:lpwstr>US 8983791v.1</vt:lpwstr>
  </property>
</Properties>
</file>