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AF48" w14:textId="181276AD" w:rsidR="008A331C" w:rsidRPr="00094AEC" w:rsidRDefault="00F926F1" w:rsidP="008A331C">
      <w:pPr>
        <w:pStyle w:val="TBCTitleBoldCenter"/>
        <w:rPr>
          <w:szCs w:val="24"/>
        </w:rPr>
      </w:pPr>
      <w:r>
        <w:rPr>
          <w:szCs w:val="24"/>
        </w:rPr>
        <w:t>CHORD ENERGY CORPORATION</w:t>
      </w:r>
      <w:r w:rsidR="008A331C" w:rsidRPr="00094AEC">
        <w:rPr>
          <w:szCs w:val="24"/>
        </w:rPr>
        <w:br/>
        <w:t>CHARTER OF THE</w:t>
      </w:r>
      <w:r w:rsidR="008A331C" w:rsidRPr="00094AEC">
        <w:rPr>
          <w:szCs w:val="24"/>
        </w:rPr>
        <w:br/>
        <w:t>ENVIRONMENTAL</w:t>
      </w:r>
      <w:r w:rsidR="008A331C" w:rsidRPr="00094AEC">
        <w:rPr>
          <w:b w:val="0"/>
          <w:szCs w:val="24"/>
        </w:rPr>
        <w:t>,</w:t>
      </w:r>
      <w:r w:rsidR="008A331C" w:rsidRPr="00094AEC">
        <w:rPr>
          <w:szCs w:val="24"/>
        </w:rPr>
        <w:t xml:space="preserve"> SOCIAL &amp; GOVERNANCE COMMITTEE</w:t>
      </w:r>
      <w:r w:rsidR="008A331C" w:rsidRPr="00094AEC">
        <w:rPr>
          <w:szCs w:val="24"/>
        </w:rPr>
        <w:br/>
        <w:t>OF THE BOARD OF DIRECTORS</w:t>
      </w:r>
      <w:r w:rsidR="008A331C" w:rsidRPr="00094AEC">
        <w:rPr>
          <w:szCs w:val="24"/>
        </w:rPr>
        <w:br/>
        <w:t xml:space="preserve">(Adopted as of </w:t>
      </w:r>
      <w:r>
        <w:rPr>
          <w:szCs w:val="24"/>
        </w:rPr>
        <w:t>July 1</w:t>
      </w:r>
      <w:r w:rsidR="008A331C" w:rsidRPr="00094AEC">
        <w:rPr>
          <w:b w:val="0"/>
          <w:szCs w:val="24"/>
        </w:rPr>
        <w:t>,</w:t>
      </w:r>
      <w:r w:rsidR="008A331C" w:rsidRPr="00094AEC">
        <w:rPr>
          <w:szCs w:val="24"/>
        </w:rPr>
        <w:t xml:space="preserve"> </w:t>
      </w:r>
      <w:r w:rsidR="00616213" w:rsidRPr="00094AEC">
        <w:rPr>
          <w:szCs w:val="24"/>
        </w:rPr>
        <w:t>2022</w:t>
      </w:r>
      <w:r w:rsidR="008A331C" w:rsidRPr="00094AEC">
        <w:rPr>
          <w:szCs w:val="24"/>
        </w:rPr>
        <w:t>)</w:t>
      </w:r>
    </w:p>
    <w:p w14:paraId="59BA5DE2" w14:textId="0087E41C" w:rsidR="008A331C" w:rsidRPr="00094AEC" w:rsidRDefault="008A331C" w:rsidP="008A331C">
      <w:pPr>
        <w:rPr>
          <w:szCs w:val="24"/>
        </w:rPr>
      </w:pPr>
      <w:r w:rsidRPr="00094AEC">
        <w:rPr>
          <w:szCs w:val="24"/>
        </w:rPr>
        <w:t>The Board of Directors (the “</w:t>
      </w:r>
      <w:r w:rsidRPr="00094AEC">
        <w:rPr>
          <w:szCs w:val="24"/>
          <w:u w:val="single"/>
        </w:rPr>
        <w:t>Board</w:t>
      </w:r>
      <w:r w:rsidRPr="00094AEC">
        <w:rPr>
          <w:szCs w:val="24"/>
        </w:rPr>
        <w:t xml:space="preserve">”) of </w:t>
      </w:r>
      <w:r w:rsidR="00F926F1">
        <w:rPr>
          <w:szCs w:val="24"/>
        </w:rPr>
        <w:t>Chord Energy Corporation</w:t>
      </w:r>
      <w:r w:rsidRPr="00094AEC">
        <w:rPr>
          <w:szCs w:val="24"/>
        </w:rPr>
        <w:t xml:space="preserve"> (the “</w:t>
      </w:r>
      <w:r w:rsidRPr="00094AEC">
        <w:rPr>
          <w:szCs w:val="24"/>
          <w:u w:val="single"/>
        </w:rPr>
        <w:t>Company</w:t>
      </w:r>
      <w:r w:rsidRPr="00094AEC">
        <w:rPr>
          <w:szCs w:val="24"/>
        </w:rPr>
        <w:t>”) has established the Environmental, Social &amp; Governance Committee of the Board (the “</w:t>
      </w:r>
      <w:r w:rsidRPr="00094AEC">
        <w:rPr>
          <w:szCs w:val="24"/>
          <w:u w:val="single"/>
        </w:rPr>
        <w:t>Committee</w:t>
      </w:r>
      <w:r w:rsidRPr="00094AEC">
        <w:rPr>
          <w:szCs w:val="24"/>
        </w:rPr>
        <w:t>”) with authority, responsibility and specific duties as described in this Environmental, Social &amp; Governance Committee Charter (this “</w:t>
      </w:r>
      <w:r w:rsidRPr="00094AEC">
        <w:rPr>
          <w:szCs w:val="24"/>
          <w:u w:val="single"/>
        </w:rPr>
        <w:t>Charter</w:t>
      </w:r>
      <w:r w:rsidRPr="00094AEC">
        <w:rPr>
          <w:szCs w:val="24"/>
        </w:rPr>
        <w:t>”).</w:t>
      </w:r>
    </w:p>
    <w:p w14:paraId="5DB08356" w14:textId="61AEE351" w:rsidR="008A331C" w:rsidRPr="00094AEC" w:rsidRDefault="008A331C" w:rsidP="008A331C">
      <w:pPr>
        <w:pStyle w:val="Heading1"/>
        <w:rPr>
          <w:rFonts w:cs="Times New Roman"/>
          <w:szCs w:val="24"/>
        </w:rPr>
      </w:pPr>
      <w:r w:rsidRPr="00094AEC">
        <w:rPr>
          <w:rFonts w:cs="Times New Roman"/>
          <w:szCs w:val="24"/>
        </w:rPr>
        <w:t>Purpose</w:t>
      </w:r>
    </w:p>
    <w:p w14:paraId="57AB6B15" w14:textId="59B0B78F" w:rsidR="008A331C" w:rsidRPr="00094AEC" w:rsidRDefault="008A331C" w:rsidP="008A331C">
      <w:pPr>
        <w:rPr>
          <w:szCs w:val="24"/>
        </w:rPr>
      </w:pPr>
      <w:r w:rsidRPr="00094AEC">
        <w:rPr>
          <w:szCs w:val="24"/>
        </w:rPr>
        <w:t xml:space="preserve">The purpose of the Committee </w:t>
      </w:r>
      <w:r w:rsidR="00AF29C9">
        <w:rPr>
          <w:szCs w:val="24"/>
        </w:rPr>
        <w:t>is</w:t>
      </w:r>
      <w:r w:rsidR="00AF29C9" w:rsidRPr="00094AEC">
        <w:rPr>
          <w:szCs w:val="24"/>
        </w:rPr>
        <w:t xml:space="preserve"> </w:t>
      </w:r>
      <w:r w:rsidRPr="00094AEC">
        <w:rPr>
          <w:szCs w:val="24"/>
        </w:rPr>
        <w:t>to:</w:t>
      </w:r>
    </w:p>
    <w:p w14:paraId="553CED85" w14:textId="625B4B5C" w:rsidR="008A331C" w:rsidRPr="00094AEC" w:rsidRDefault="008A331C" w:rsidP="001777AA">
      <w:pPr>
        <w:pStyle w:val="Heading2"/>
        <w:rPr>
          <w:rFonts w:cs="Times New Roman"/>
          <w:szCs w:val="24"/>
        </w:rPr>
      </w:pPr>
      <w:r w:rsidRPr="00094AEC">
        <w:rPr>
          <w:rFonts w:cs="Times New Roman"/>
          <w:szCs w:val="24"/>
        </w:rPr>
        <w:t xml:space="preserve">Support the Company’s commitment to </w:t>
      </w:r>
      <w:r w:rsidR="00247343" w:rsidRPr="00094AEC">
        <w:rPr>
          <w:rFonts w:cs="Times New Roman"/>
          <w:szCs w:val="24"/>
        </w:rPr>
        <w:t xml:space="preserve">environmental, </w:t>
      </w:r>
      <w:r w:rsidR="00094AEC" w:rsidRPr="00094AEC">
        <w:rPr>
          <w:rFonts w:cs="Times New Roman"/>
          <w:szCs w:val="24"/>
        </w:rPr>
        <w:t xml:space="preserve">health and safety, </w:t>
      </w:r>
      <w:r w:rsidR="00247343" w:rsidRPr="00094AEC">
        <w:rPr>
          <w:rFonts w:cs="Times New Roman"/>
          <w:szCs w:val="24"/>
        </w:rPr>
        <w:t>social, and governance (“</w:t>
      </w:r>
      <w:r w:rsidRPr="00094AEC">
        <w:rPr>
          <w:rFonts w:cs="Times New Roman"/>
          <w:szCs w:val="24"/>
          <w:u w:val="single"/>
        </w:rPr>
        <w:t>ESG</w:t>
      </w:r>
      <w:r w:rsidR="00247343" w:rsidRPr="00094AEC">
        <w:rPr>
          <w:rFonts w:cs="Times New Roman"/>
          <w:szCs w:val="24"/>
        </w:rPr>
        <w:t>”)</w:t>
      </w:r>
      <w:r w:rsidRPr="00094AEC">
        <w:rPr>
          <w:rFonts w:cs="Times New Roman"/>
          <w:szCs w:val="24"/>
        </w:rPr>
        <w:t xml:space="preserve"> </w:t>
      </w:r>
      <w:r w:rsidR="0033188A" w:rsidRPr="00094AEC">
        <w:rPr>
          <w:rFonts w:cs="Times New Roman"/>
          <w:szCs w:val="24"/>
        </w:rPr>
        <w:t xml:space="preserve">matters </w:t>
      </w:r>
      <w:r w:rsidRPr="00094AEC">
        <w:rPr>
          <w:rFonts w:cs="Times New Roman"/>
          <w:szCs w:val="24"/>
        </w:rPr>
        <w:t xml:space="preserve">by </w:t>
      </w:r>
      <w:r w:rsidR="00D76CC1">
        <w:rPr>
          <w:rFonts w:cs="Times New Roman"/>
          <w:szCs w:val="24"/>
        </w:rPr>
        <w:t xml:space="preserve">assisting the Board in fulfilling its oversight </w:t>
      </w:r>
      <w:r w:rsidR="00AF29C9">
        <w:rPr>
          <w:rFonts w:cs="Times New Roman"/>
          <w:szCs w:val="24"/>
        </w:rPr>
        <w:t>responsibilities</w:t>
      </w:r>
      <w:r w:rsidR="00D76CC1">
        <w:rPr>
          <w:rFonts w:cs="Times New Roman"/>
          <w:szCs w:val="24"/>
        </w:rPr>
        <w:t xml:space="preserve"> </w:t>
      </w:r>
      <w:r w:rsidRPr="00094AEC">
        <w:rPr>
          <w:rFonts w:cs="Times New Roman"/>
          <w:szCs w:val="24"/>
        </w:rPr>
        <w:t xml:space="preserve">relating to ESG matters </w:t>
      </w:r>
      <w:r w:rsidR="00AF29C9">
        <w:rPr>
          <w:rFonts w:cs="Times New Roman"/>
          <w:szCs w:val="24"/>
        </w:rPr>
        <w:t xml:space="preserve">including </w:t>
      </w:r>
      <w:r w:rsidRPr="00094AEC">
        <w:rPr>
          <w:rFonts w:cs="Times New Roman"/>
          <w:szCs w:val="24"/>
        </w:rPr>
        <w:t xml:space="preserve"> communications </w:t>
      </w:r>
      <w:r w:rsidR="00CD3C2E" w:rsidRPr="00094AEC">
        <w:rPr>
          <w:rFonts w:cs="Times New Roman"/>
          <w:szCs w:val="24"/>
        </w:rPr>
        <w:t>concerning</w:t>
      </w:r>
      <w:r w:rsidRPr="00094AEC">
        <w:rPr>
          <w:rFonts w:cs="Times New Roman"/>
          <w:szCs w:val="24"/>
        </w:rPr>
        <w:t xml:space="preserve"> ESG matters with the Company’s stakeholders;</w:t>
      </w:r>
    </w:p>
    <w:p w14:paraId="73F4255F" w14:textId="64FCEEE5" w:rsidR="00835C2F" w:rsidRPr="00094AEC" w:rsidRDefault="008A331C" w:rsidP="001777AA">
      <w:pPr>
        <w:pStyle w:val="Heading2"/>
        <w:rPr>
          <w:rFonts w:cs="Times New Roman"/>
          <w:szCs w:val="24"/>
        </w:rPr>
      </w:pPr>
      <w:r w:rsidRPr="00094AEC">
        <w:rPr>
          <w:rFonts w:cs="Times New Roman"/>
          <w:szCs w:val="24"/>
        </w:rPr>
        <w:t>Review and monitor the Company’s policies, controls and systems relating to ESG matters, as well as broader ESG trends, and make recommendations to the Board on ESG matters</w:t>
      </w:r>
      <w:r w:rsidR="00ED69AB" w:rsidRPr="00094AEC">
        <w:rPr>
          <w:rFonts w:cs="Times New Roman"/>
          <w:szCs w:val="24"/>
        </w:rPr>
        <w:t xml:space="preserve"> on an as-needed basis</w:t>
      </w:r>
      <w:r w:rsidRPr="00094AEC">
        <w:rPr>
          <w:rFonts w:cs="Times New Roman"/>
          <w:szCs w:val="24"/>
        </w:rPr>
        <w:t xml:space="preserve">; </w:t>
      </w:r>
    </w:p>
    <w:p w14:paraId="388B0839" w14:textId="79AF08B7" w:rsidR="008A331C" w:rsidRPr="00094AEC" w:rsidRDefault="00835C2F" w:rsidP="001777AA">
      <w:pPr>
        <w:pStyle w:val="Heading2"/>
        <w:rPr>
          <w:rFonts w:cs="Times New Roman"/>
          <w:szCs w:val="24"/>
        </w:rPr>
      </w:pPr>
      <w:r w:rsidRPr="00094AEC">
        <w:rPr>
          <w:rFonts w:cs="Times New Roman"/>
          <w:szCs w:val="24"/>
        </w:rPr>
        <w:t xml:space="preserve">Review and make recommendations to the Board regarding the Company’s social responsibility policies, practices and metrics, as well as the Company’s public disclosure on </w:t>
      </w:r>
      <w:r w:rsidR="0033188A" w:rsidRPr="00094AEC">
        <w:rPr>
          <w:rFonts w:cs="Times New Roman"/>
          <w:szCs w:val="24"/>
        </w:rPr>
        <w:t>such</w:t>
      </w:r>
      <w:r w:rsidRPr="00094AEC">
        <w:rPr>
          <w:rFonts w:cs="Times New Roman"/>
          <w:szCs w:val="24"/>
        </w:rPr>
        <w:t xml:space="preserve"> matters</w:t>
      </w:r>
      <w:r w:rsidR="00BF7468">
        <w:rPr>
          <w:rFonts w:cs="Times New Roman"/>
          <w:szCs w:val="24"/>
        </w:rPr>
        <w:t xml:space="preserve"> (</w:t>
      </w:r>
      <w:r w:rsidRPr="00094AEC">
        <w:rPr>
          <w:rFonts w:cs="Times New Roman"/>
          <w:szCs w:val="24"/>
        </w:rPr>
        <w:t>taking into consideration the impact of the Company’s policies, practices and metrics on its stockholders, employees, landowners, local communities, vendors, partners and other key stakeholders</w:t>
      </w:r>
      <w:r w:rsidR="00BF7468">
        <w:rPr>
          <w:rFonts w:cs="Times New Roman"/>
          <w:szCs w:val="24"/>
        </w:rPr>
        <w:t>)</w:t>
      </w:r>
      <w:r w:rsidRPr="00094AEC">
        <w:rPr>
          <w:rFonts w:cs="Times New Roman"/>
          <w:szCs w:val="24"/>
        </w:rPr>
        <w:t xml:space="preserve">; </w:t>
      </w:r>
      <w:r w:rsidR="008A331C" w:rsidRPr="00094AEC">
        <w:rPr>
          <w:rFonts w:cs="Times New Roman"/>
          <w:szCs w:val="24"/>
        </w:rPr>
        <w:t>and</w:t>
      </w:r>
    </w:p>
    <w:p w14:paraId="10F2F0C1" w14:textId="6361C337" w:rsidR="008A331C" w:rsidRPr="00094AEC" w:rsidRDefault="008A331C" w:rsidP="008A331C">
      <w:pPr>
        <w:pStyle w:val="Heading2"/>
        <w:tabs>
          <w:tab w:val="clear" w:pos="720"/>
          <w:tab w:val="num" w:pos="360"/>
        </w:tabs>
        <w:spacing w:after="480"/>
        <w:rPr>
          <w:rFonts w:cs="Times New Roman"/>
          <w:szCs w:val="24"/>
        </w:rPr>
      </w:pPr>
      <w:r w:rsidRPr="00094AEC">
        <w:rPr>
          <w:rFonts w:cs="Times New Roman"/>
          <w:szCs w:val="24"/>
        </w:rPr>
        <w:t>Perform such other functions as the Board may assign to the Committee from time to time.</w:t>
      </w:r>
    </w:p>
    <w:p w14:paraId="530ADD3A" w14:textId="18748A29" w:rsidR="008A331C" w:rsidRPr="00094AEC" w:rsidRDefault="008A331C" w:rsidP="008A331C">
      <w:pPr>
        <w:pStyle w:val="Heading1"/>
        <w:keepNext w:val="0"/>
        <w:rPr>
          <w:rFonts w:cs="Times New Roman"/>
          <w:szCs w:val="24"/>
        </w:rPr>
      </w:pPr>
      <w:r w:rsidRPr="00094AEC">
        <w:rPr>
          <w:rFonts w:cs="Times New Roman"/>
          <w:szCs w:val="24"/>
        </w:rPr>
        <w:t>Membership</w:t>
      </w:r>
    </w:p>
    <w:p w14:paraId="62D5CDFD" w14:textId="23AAA68C" w:rsidR="008A331C" w:rsidRPr="00094AEC" w:rsidRDefault="008A331C" w:rsidP="008A331C">
      <w:pPr>
        <w:rPr>
          <w:szCs w:val="24"/>
        </w:rPr>
      </w:pPr>
      <w:r w:rsidRPr="00094AEC">
        <w:rPr>
          <w:szCs w:val="24"/>
        </w:rPr>
        <w:t>The Committee shall consist of not less than three members of the Board</w:t>
      </w:r>
      <w:r w:rsidR="00415F5F">
        <w:rPr>
          <w:szCs w:val="24"/>
        </w:rPr>
        <w:t xml:space="preserve">, </w:t>
      </w:r>
      <w:r w:rsidR="00BA02D1">
        <w:rPr>
          <w:szCs w:val="24"/>
        </w:rPr>
        <w:t>including the Committee Chair</w:t>
      </w:r>
      <w:r w:rsidRPr="00094AEC">
        <w:rPr>
          <w:szCs w:val="24"/>
        </w:rPr>
        <w:t>. Notwithstanding the foregoing membership requirements, no action of the Committee shall be invalid by reason of any such requirement not being met at the time such action is taken.</w:t>
      </w:r>
    </w:p>
    <w:p w14:paraId="2CA5A7C0" w14:textId="4151FAD7" w:rsidR="009A1A4B" w:rsidRDefault="008A331C" w:rsidP="008A331C">
      <w:pPr>
        <w:rPr>
          <w:szCs w:val="24"/>
        </w:rPr>
      </w:pPr>
      <w:r w:rsidRPr="00094AEC">
        <w:rPr>
          <w:szCs w:val="24"/>
        </w:rPr>
        <w:t>The members of the Committee</w:t>
      </w:r>
      <w:r w:rsidR="00BA02D1">
        <w:rPr>
          <w:szCs w:val="24"/>
        </w:rPr>
        <w:t>,</w:t>
      </w:r>
      <w:r w:rsidRPr="00094AEC">
        <w:rPr>
          <w:szCs w:val="24"/>
        </w:rPr>
        <w:t xml:space="preserve"> </w:t>
      </w:r>
      <w:r w:rsidR="00BA02D1">
        <w:rPr>
          <w:szCs w:val="24"/>
        </w:rPr>
        <w:t>including</w:t>
      </w:r>
      <w:r w:rsidR="00BA02D1" w:rsidRPr="00094AEC">
        <w:rPr>
          <w:szCs w:val="24"/>
        </w:rPr>
        <w:t xml:space="preserve"> </w:t>
      </w:r>
      <w:r w:rsidRPr="00094AEC">
        <w:rPr>
          <w:szCs w:val="24"/>
        </w:rPr>
        <w:t>its Chair</w:t>
      </w:r>
      <w:r w:rsidR="00BA02D1">
        <w:rPr>
          <w:szCs w:val="24"/>
        </w:rPr>
        <w:t>,</w:t>
      </w:r>
      <w:r w:rsidRPr="00094AEC">
        <w:rPr>
          <w:szCs w:val="24"/>
        </w:rPr>
        <w:t xml:space="preserve"> shall be selected annually by the Board</w:t>
      </w:r>
      <w:r w:rsidR="00DA4C3B" w:rsidRPr="00094AEC">
        <w:rPr>
          <w:szCs w:val="24"/>
        </w:rPr>
        <w:t xml:space="preserve">, taking into consideration the recommendation of the Nominating &amp; Governance Committee, </w:t>
      </w:r>
      <w:r w:rsidRPr="00094AEC">
        <w:rPr>
          <w:szCs w:val="24"/>
        </w:rPr>
        <w:t xml:space="preserve">and shall serve at the pleasure of the Board or until earlier resignation or death. The Board shall have power at any time to fill vacancies in, to change the membership of, or to dissolve any such committee. </w:t>
      </w:r>
    </w:p>
    <w:p w14:paraId="47243D24" w14:textId="2652189E" w:rsidR="00BF7468" w:rsidRDefault="00BF7468" w:rsidP="008A331C">
      <w:pPr>
        <w:rPr>
          <w:szCs w:val="24"/>
        </w:rPr>
      </w:pPr>
      <w:r>
        <w:rPr>
          <w:szCs w:val="24"/>
        </w:rPr>
        <w:t xml:space="preserve">The Chair </w:t>
      </w:r>
      <w:r w:rsidR="00415F5F">
        <w:rPr>
          <w:szCs w:val="24"/>
        </w:rPr>
        <w:t xml:space="preserve">of the Committee </w:t>
      </w:r>
      <w:r>
        <w:rPr>
          <w:szCs w:val="24"/>
        </w:rPr>
        <w:t>will chair all regular sessions of the Committee</w:t>
      </w:r>
      <w:r w:rsidR="009A1A4B">
        <w:rPr>
          <w:szCs w:val="24"/>
        </w:rPr>
        <w:t xml:space="preserve"> and, in consultation with the </w:t>
      </w:r>
      <w:r w:rsidR="00415F5F">
        <w:rPr>
          <w:szCs w:val="24"/>
        </w:rPr>
        <w:t xml:space="preserve">Board </w:t>
      </w:r>
      <w:r w:rsidR="009A1A4B">
        <w:rPr>
          <w:szCs w:val="24"/>
        </w:rPr>
        <w:t xml:space="preserve">Chair and </w:t>
      </w:r>
      <w:r w:rsidR="00BA02D1">
        <w:rPr>
          <w:szCs w:val="24"/>
        </w:rPr>
        <w:t>the Company’s management (“Management”)</w:t>
      </w:r>
      <w:r w:rsidR="009A1A4B">
        <w:rPr>
          <w:szCs w:val="24"/>
        </w:rPr>
        <w:t>, set the agenda for Committee meetings.</w:t>
      </w:r>
    </w:p>
    <w:p w14:paraId="3F4C4D89" w14:textId="198B5ABA" w:rsidR="008A331C" w:rsidRPr="00094AEC" w:rsidRDefault="008A331C" w:rsidP="008A331C">
      <w:pPr>
        <w:rPr>
          <w:szCs w:val="24"/>
        </w:rPr>
      </w:pPr>
      <w:r w:rsidRPr="00094AEC">
        <w:rPr>
          <w:szCs w:val="24"/>
        </w:rPr>
        <w:lastRenderedPageBreak/>
        <w:t>If a Chair is not designated by the Board</w:t>
      </w:r>
      <w:r w:rsidR="00415F5F">
        <w:rPr>
          <w:szCs w:val="24"/>
        </w:rPr>
        <w:t>,</w:t>
      </w:r>
      <w:r w:rsidRPr="00094AEC">
        <w:rPr>
          <w:szCs w:val="24"/>
        </w:rPr>
        <w:t xml:space="preserve"> the Committee may designate a Chair by majority vote of the Committee members then in office.</w:t>
      </w:r>
    </w:p>
    <w:p w14:paraId="6D474673" w14:textId="77777777" w:rsidR="008A331C" w:rsidRPr="00094AEC" w:rsidRDefault="008A331C" w:rsidP="008A331C">
      <w:pPr>
        <w:pStyle w:val="Heading1"/>
        <w:keepNext w:val="0"/>
        <w:rPr>
          <w:rFonts w:cs="Times New Roman"/>
          <w:szCs w:val="24"/>
        </w:rPr>
      </w:pPr>
      <w:r w:rsidRPr="00094AEC">
        <w:rPr>
          <w:rFonts w:cs="Times New Roman"/>
          <w:szCs w:val="24"/>
        </w:rPr>
        <w:t>Delegation of Authority</w:t>
      </w:r>
    </w:p>
    <w:p w14:paraId="6266A721" w14:textId="6E9AB35B" w:rsidR="008A331C" w:rsidRPr="00094AEC" w:rsidRDefault="008A331C" w:rsidP="008A331C">
      <w:pPr>
        <w:rPr>
          <w:szCs w:val="24"/>
        </w:rPr>
      </w:pPr>
      <w:r w:rsidRPr="00094AEC">
        <w:rPr>
          <w:szCs w:val="24"/>
        </w:rPr>
        <w:t xml:space="preserve">The </w:t>
      </w:r>
      <w:r w:rsidR="00CD3C2E" w:rsidRPr="00094AEC">
        <w:rPr>
          <w:szCs w:val="24"/>
        </w:rPr>
        <w:t xml:space="preserve">Board delegates all authority to the </w:t>
      </w:r>
      <w:r w:rsidRPr="00094AEC">
        <w:rPr>
          <w:szCs w:val="24"/>
        </w:rPr>
        <w:t>Committee as may be required or advisable to fulfill the purposes of the Committee. Without limiting the generality of the preceding statements, the Committee shall have authority, and is entrusted with the responsibility, to take the following actions:</w:t>
      </w:r>
    </w:p>
    <w:p w14:paraId="172698D9" w14:textId="0A6B12D0" w:rsidR="008A331C" w:rsidRPr="00094AEC" w:rsidRDefault="008A331C" w:rsidP="008A331C">
      <w:pPr>
        <w:pStyle w:val="Heading2"/>
        <w:rPr>
          <w:rFonts w:cs="Times New Roman"/>
          <w:szCs w:val="24"/>
        </w:rPr>
      </w:pPr>
      <w:r w:rsidRPr="00094AEC">
        <w:rPr>
          <w:rFonts w:cs="Times New Roman"/>
          <w:szCs w:val="24"/>
        </w:rPr>
        <w:t>Conduct or authorize investigations into any matter within the scope of the responsibilities delegated to the Committee as it deems appropriate, including the authority to request any officer, employee or advisor of the Company to meet with the Committee or any advisors engaged by the Committee.</w:t>
      </w:r>
    </w:p>
    <w:p w14:paraId="3EC279F9" w14:textId="01627C95" w:rsidR="008A331C" w:rsidRPr="00094AEC" w:rsidRDefault="008A331C" w:rsidP="008A331C">
      <w:pPr>
        <w:pStyle w:val="Heading2"/>
        <w:rPr>
          <w:rFonts w:cs="Times New Roman"/>
          <w:szCs w:val="24"/>
        </w:rPr>
      </w:pPr>
      <w:r w:rsidRPr="00094AEC">
        <w:rPr>
          <w:rFonts w:cs="Times New Roman"/>
          <w:szCs w:val="24"/>
        </w:rPr>
        <w:t xml:space="preserve">Retain, approve the fees payable to, amend the engagement with, and terminate independent legal counsel and other experts, advisors and consultants as it deems necessary or appropriate to fulfill its responsibilities. The Committee may also utilize the services of the Company’s regular outside legal counsel or other advisors to the Company. Any communications between one or more members of the Committee, on the one hand, and the Committee’s outside legal counsel, on the other hand, will be privileged communications. Any other experts, consultants and advisors retained by the Committee must be independent, as determined in the discretion of the Committee. The Company shall provide for appropriate funding, as determined by the Committee, for payment of </w:t>
      </w:r>
      <w:r w:rsidR="00235BCD" w:rsidRPr="00094AEC">
        <w:rPr>
          <w:rFonts w:cs="Times New Roman"/>
          <w:szCs w:val="24"/>
        </w:rPr>
        <w:fldChar w:fldCharType="begin"/>
      </w:r>
      <w:r w:rsidR="00235BCD" w:rsidRPr="00094AEC">
        <w:rPr>
          <w:rFonts w:cs="Times New Roman"/>
          <w:szCs w:val="24"/>
        </w:rPr>
        <w:instrText xml:space="preserve"> LISTNUM \l 6 </w:instrText>
      </w:r>
      <w:r w:rsidR="00235BCD" w:rsidRPr="00094AEC">
        <w:rPr>
          <w:rFonts w:cs="Times New Roman"/>
          <w:szCs w:val="24"/>
        </w:rPr>
        <w:fldChar w:fldCharType="end">
          <w:numberingChange w:id="0" w:author="Schmergel, Chloe" w:date="2022-06-28T08:08:00Z" w:original="(i)"/>
        </w:fldChar>
      </w:r>
      <w:r w:rsidR="00235BCD" w:rsidRPr="00094AEC">
        <w:rPr>
          <w:rFonts w:cs="Times New Roman"/>
          <w:szCs w:val="24"/>
        </w:rPr>
        <w:t> </w:t>
      </w:r>
      <w:r w:rsidRPr="00094AEC">
        <w:rPr>
          <w:rFonts w:cs="Times New Roman"/>
          <w:szCs w:val="24"/>
        </w:rPr>
        <w:t xml:space="preserve">compensation to any experts, consultants and advisors retained by the Committee; and </w:t>
      </w:r>
      <w:r w:rsidR="00235BCD" w:rsidRPr="00094AEC">
        <w:rPr>
          <w:rFonts w:cs="Times New Roman"/>
          <w:szCs w:val="24"/>
        </w:rPr>
        <w:fldChar w:fldCharType="begin"/>
      </w:r>
      <w:r w:rsidR="00235BCD" w:rsidRPr="00094AEC">
        <w:rPr>
          <w:rFonts w:cs="Times New Roman"/>
          <w:szCs w:val="24"/>
        </w:rPr>
        <w:instrText xml:space="preserve"> LISTNUM \l 6 </w:instrText>
      </w:r>
      <w:r w:rsidR="00235BCD" w:rsidRPr="00094AEC">
        <w:rPr>
          <w:rFonts w:cs="Times New Roman"/>
          <w:szCs w:val="24"/>
        </w:rPr>
        <w:fldChar w:fldCharType="end">
          <w:numberingChange w:id="1" w:author="Schmergel, Chloe" w:date="2022-06-28T08:08:00Z" w:original="(ii)"/>
        </w:fldChar>
      </w:r>
      <w:r w:rsidR="00235BCD" w:rsidRPr="00094AEC">
        <w:rPr>
          <w:rFonts w:cs="Times New Roman"/>
          <w:szCs w:val="24"/>
        </w:rPr>
        <w:t> </w:t>
      </w:r>
      <w:r w:rsidRPr="00094AEC">
        <w:rPr>
          <w:rFonts w:cs="Times New Roman"/>
          <w:szCs w:val="24"/>
        </w:rPr>
        <w:t>ordinary administrative expenses of the Committee that are necessary or appropriate in carrying out its duties.</w:t>
      </w:r>
    </w:p>
    <w:p w14:paraId="45CE27B0" w14:textId="4A164A96" w:rsidR="008A331C" w:rsidRPr="00094AEC" w:rsidRDefault="008A331C" w:rsidP="008A331C">
      <w:pPr>
        <w:pStyle w:val="Heading2"/>
        <w:rPr>
          <w:rFonts w:cs="Times New Roman"/>
          <w:szCs w:val="24"/>
        </w:rPr>
      </w:pPr>
      <w:r w:rsidRPr="00094AEC">
        <w:rPr>
          <w:rFonts w:cs="Times New Roman"/>
          <w:szCs w:val="24"/>
        </w:rPr>
        <w:t>Delegate to its Chair, any one of its members or any subcommittee it may form, the responsibility and authority to take action in relation to such responsibility for any particular matter, as it deems appropriate from time to time under the circumstances. However, subcommittees shall not have the authority to engage independent legal counsel and other experts and advisors unless expressly granted such authority by the Committee. Each subcommittee shall keep minutes and regularly report to the Committee.</w:t>
      </w:r>
    </w:p>
    <w:p w14:paraId="10D569CD" w14:textId="77777777" w:rsidR="008A331C" w:rsidRPr="00094AEC" w:rsidRDefault="008A331C" w:rsidP="008A331C">
      <w:pPr>
        <w:pStyle w:val="Heading1"/>
        <w:keepNext w:val="0"/>
        <w:rPr>
          <w:rFonts w:cs="Times New Roman"/>
          <w:szCs w:val="24"/>
        </w:rPr>
      </w:pPr>
      <w:r w:rsidRPr="00094AEC">
        <w:rPr>
          <w:rFonts w:cs="Times New Roman"/>
          <w:szCs w:val="24"/>
        </w:rPr>
        <w:t>Duties and Responsibilities</w:t>
      </w:r>
    </w:p>
    <w:p w14:paraId="66488F4C" w14:textId="77777777" w:rsidR="008A331C" w:rsidRPr="00094AEC" w:rsidRDefault="008A331C" w:rsidP="008A331C">
      <w:pPr>
        <w:rPr>
          <w:szCs w:val="24"/>
        </w:rPr>
      </w:pPr>
      <w:r w:rsidRPr="00094AEC">
        <w:rPr>
          <w:szCs w:val="24"/>
        </w:rPr>
        <w:t>The Committee shall have the following responsibilities:</w:t>
      </w:r>
    </w:p>
    <w:p w14:paraId="53D77810" w14:textId="0DD2F949" w:rsidR="00247343" w:rsidRPr="00094AEC" w:rsidRDefault="00247343" w:rsidP="00E426BF">
      <w:pPr>
        <w:pStyle w:val="Heading2"/>
        <w:rPr>
          <w:rFonts w:cs="Times New Roman"/>
          <w:szCs w:val="24"/>
        </w:rPr>
      </w:pPr>
      <w:r w:rsidRPr="00094AEC">
        <w:rPr>
          <w:rFonts w:cs="Times New Roman"/>
          <w:szCs w:val="24"/>
        </w:rPr>
        <w:t>Oversee the Company’s general approach</w:t>
      </w:r>
      <w:r w:rsidR="00B2106C" w:rsidRPr="00094AEC">
        <w:rPr>
          <w:rFonts w:cs="Times New Roman"/>
          <w:szCs w:val="24"/>
        </w:rPr>
        <w:t xml:space="preserve">, </w:t>
      </w:r>
      <w:r w:rsidRPr="00094AEC">
        <w:rPr>
          <w:rFonts w:cs="Times New Roman"/>
          <w:szCs w:val="24"/>
        </w:rPr>
        <w:t xml:space="preserve">strategy </w:t>
      </w:r>
      <w:r w:rsidR="00B2106C" w:rsidRPr="00094AEC">
        <w:rPr>
          <w:rFonts w:cs="Times New Roman"/>
          <w:szCs w:val="24"/>
        </w:rPr>
        <w:t xml:space="preserve">and goals </w:t>
      </w:r>
      <w:r w:rsidRPr="00094AEC">
        <w:rPr>
          <w:rFonts w:cs="Times New Roman"/>
          <w:szCs w:val="24"/>
        </w:rPr>
        <w:t>for addressing ESG matters relevant to the Company. In this regard, this Committee shall:</w:t>
      </w:r>
    </w:p>
    <w:p w14:paraId="0C25E9FA" w14:textId="52280E1A" w:rsidR="00247343" w:rsidRPr="00094AEC" w:rsidRDefault="00B2106C" w:rsidP="00A70068">
      <w:pPr>
        <w:pStyle w:val="Heading4"/>
        <w:rPr>
          <w:rFonts w:cs="Times New Roman"/>
          <w:szCs w:val="24"/>
        </w:rPr>
      </w:pPr>
      <w:r w:rsidRPr="00094AEC">
        <w:rPr>
          <w:rFonts w:cs="Times New Roman"/>
          <w:szCs w:val="24"/>
        </w:rPr>
        <w:t>Review and approve the Company’s strategy and goals for addressing ESG matters, and review the Company’s performance against those goals</w:t>
      </w:r>
      <w:r w:rsidR="00247343" w:rsidRPr="00094AEC">
        <w:rPr>
          <w:rFonts w:cs="Times New Roman"/>
          <w:szCs w:val="24"/>
        </w:rPr>
        <w:t>;</w:t>
      </w:r>
    </w:p>
    <w:p w14:paraId="258DC3AF" w14:textId="65B1DB94" w:rsidR="00247343" w:rsidRPr="00094AEC" w:rsidRDefault="00247343">
      <w:pPr>
        <w:pStyle w:val="Heading4"/>
        <w:rPr>
          <w:rFonts w:cs="Times New Roman"/>
          <w:szCs w:val="24"/>
        </w:rPr>
      </w:pPr>
      <w:r w:rsidRPr="00094AEC">
        <w:rPr>
          <w:rFonts w:cs="Times New Roman"/>
          <w:szCs w:val="24"/>
        </w:rPr>
        <w:lastRenderedPageBreak/>
        <w:t xml:space="preserve">Provide oversight, guidance and perspective to </w:t>
      </w:r>
      <w:r w:rsidR="00FC5C59" w:rsidRPr="00094AEC">
        <w:rPr>
          <w:rFonts w:cs="Times New Roman"/>
          <w:szCs w:val="24"/>
        </w:rPr>
        <w:t>M</w:t>
      </w:r>
      <w:r w:rsidRPr="00094AEC">
        <w:rPr>
          <w:rFonts w:cs="Times New Roman"/>
          <w:szCs w:val="24"/>
        </w:rPr>
        <w:t>anagement regarding the Company’s initiatives, processes, policies, and disclosures pertaining to ESG matters; and</w:t>
      </w:r>
    </w:p>
    <w:p w14:paraId="4A98DC54" w14:textId="75D0099E" w:rsidR="00247343" w:rsidRPr="00094AEC" w:rsidRDefault="00247343">
      <w:pPr>
        <w:pStyle w:val="Heading4"/>
        <w:rPr>
          <w:rFonts w:cs="Times New Roman"/>
          <w:szCs w:val="24"/>
        </w:rPr>
      </w:pPr>
      <w:r w:rsidRPr="00094AEC">
        <w:rPr>
          <w:rFonts w:cs="Times New Roman"/>
          <w:szCs w:val="24"/>
        </w:rPr>
        <w:t xml:space="preserve">Periodically review and evaluate reports provided to this Committee by </w:t>
      </w:r>
      <w:r w:rsidR="00F94C4F" w:rsidRPr="00094AEC">
        <w:rPr>
          <w:rFonts w:cs="Times New Roman"/>
          <w:szCs w:val="24"/>
        </w:rPr>
        <w:t xml:space="preserve">members of </w:t>
      </w:r>
      <w:r w:rsidRPr="00094AEC">
        <w:rPr>
          <w:rFonts w:cs="Times New Roman"/>
          <w:szCs w:val="24"/>
        </w:rPr>
        <w:t xml:space="preserve">the </w:t>
      </w:r>
      <w:r w:rsidR="00FC5C59" w:rsidRPr="00094AEC">
        <w:rPr>
          <w:rFonts w:cs="Times New Roman"/>
          <w:szCs w:val="24"/>
        </w:rPr>
        <w:t>M</w:t>
      </w:r>
      <w:r w:rsidRPr="00094AEC">
        <w:rPr>
          <w:rFonts w:cs="Times New Roman"/>
          <w:szCs w:val="24"/>
        </w:rPr>
        <w:t xml:space="preserve">anagement working on ESG matters and propose changes and adopt any revisions to </w:t>
      </w:r>
      <w:r w:rsidR="00A70068" w:rsidRPr="00094AEC">
        <w:rPr>
          <w:rFonts w:cs="Times New Roman"/>
          <w:szCs w:val="24"/>
        </w:rPr>
        <w:t>Company’s strategy and goals for addressing ESG matters</w:t>
      </w:r>
      <w:r w:rsidR="00A70068" w:rsidRPr="00094AEC" w:rsidDel="00A70068">
        <w:rPr>
          <w:rFonts w:cs="Times New Roman"/>
          <w:szCs w:val="24"/>
        </w:rPr>
        <w:t xml:space="preserve"> </w:t>
      </w:r>
      <w:r w:rsidRPr="00094AEC">
        <w:rPr>
          <w:rFonts w:cs="Times New Roman"/>
          <w:szCs w:val="24"/>
        </w:rPr>
        <w:t>as it may deem advisable.</w:t>
      </w:r>
    </w:p>
    <w:p w14:paraId="52702849" w14:textId="4544771F" w:rsidR="00835C2F" w:rsidRPr="00094AEC" w:rsidRDefault="00F10703" w:rsidP="00E426BF">
      <w:pPr>
        <w:pStyle w:val="Heading2"/>
        <w:rPr>
          <w:rFonts w:cs="Times New Roman"/>
          <w:szCs w:val="24"/>
        </w:rPr>
      </w:pPr>
      <w:r w:rsidRPr="00094AEC">
        <w:rPr>
          <w:rFonts w:cs="Times New Roman"/>
          <w:szCs w:val="24"/>
        </w:rPr>
        <w:t>M</w:t>
      </w:r>
      <w:r w:rsidR="00835C2F" w:rsidRPr="00094AEC">
        <w:rPr>
          <w:rFonts w:cs="Times New Roman"/>
          <w:szCs w:val="24"/>
        </w:rPr>
        <w:t xml:space="preserve">onitor and provide oversight </w:t>
      </w:r>
      <w:r w:rsidR="00852036" w:rsidRPr="00094AEC">
        <w:rPr>
          <w:rFonts w:cs="Times New Roman"/>
          <w:szCs w:val="24"/>
        </w:rPr>
        <w:t>of</w:t>
      </w:r>
      <w:r w:rsidR="00835C2F" w:rsidRPr="00094AEC">
        <w:rPr>
          <w:rFonts w:cs="Times New Roman"/>
          <w:szCs w:val="24"/>
        </w:rPr>
        <w:t xml:space="preserve"> the Company’s environmental, health, safety, regulatory and reputational performance, by</w:t>
      </w:r>
      <w:r w:rsidR="00852036" w:rsidRPr="00094AEC">
        <w:rPr>
          <w:rFonts w:cs="Times New Roman"/>
          <w:szCs w:val="24"/>
        </w:rPr>
        <w:t>,</w:t>
      </w:r>
      <w:r w:rsidR="00835C2F" w:rsidRPr="00094AEC">
        <w:rPr>
          <w:rFonts w:cs="Times New Roman"/>
          <w:szCs w:val="24"/>
        </w:rPr>
        <w:t xml:space="preserve"> among other things:</w:t>
      </w:r>
    </w:p>
    <w:p w14:paraId="121DE2EF" w14:textId="0C8B8D34" w:rsidR="00835C2F" w:rsidRPr="00094AEC" w:rsidRDefault="00A70068" w:rsidP="00A70068">
      <w:pPr>
        <w:pStyle w:val="Heading4"/>
        <w:rPr>
          <w:rFonts w:cs="Times New Roman"/>
          <w:szCs w:val="24"/>
        </w:rPr>
      </w:pPr>
      <w:r w:rsidRPr="00094AEC">
        <w:rPr>
          <w:rFonts w:cs="Times New Roman"/>
          <w:szCs w:val="24"/>
        </w:rPr>
        <w:t xml:space="preserve">Overseeing </w:t>
      </w:r>
      <w:r w:rsidR="00835C2F" w:rsidRPr="00094AEC">
        <w:rPr>
          <w:rFonts w:cs="Times New Roman"/>
          <w:szCs w:val="24"/>
        </w:rPr>
        <w:t>the Company’s standards, policies and conduct relating to such matters</w:t>
      </w:r>
      <w:r w:rsidRPr="00094AEC">
        <w:rPr>
          <w:rFonts w:cs="Times New Roman"/>
          <w:szCs w:val="24"/>
        </w:rPr>
        <w:t>,</w:t>
      </w:r>
      <w:r w:rsidR="00835C2F" w:rsidRPr="00094AEC">
        <w:rPr>
          <w:rFonts w:cs="Times New Roman"/>
          <w:szCs w:val="24"/>
        </w:rPr>
        <w:t xml:space="preserve"> </w:t>
      </w:r>
      <w:r w:rsidRPr="00094AEC">
        <w:rPr>
          <w:rFonts w:cs="Times New Roman"/>
          <w:szCs w:val="24"/>
        </w:rPr>
        <w:t>including processes to ensure compliance with applicable legal and regulatory requirements</w:t>
      </w:r>
      <w:r w:rsidR="00F94C4F" w:rsidRPr="00094AEC">
        <w:rPr>
          <w:rFonts w:cs="Times New Roman"/>
          <w:szCs w:val="24"/>
        </w:rPr>
        <w:t xml:space="preserve">, including the development and </w:t>
      </w:r>
      <w:r w:rsidR="006A0C1D" w:rsidRPr="00094AEC">
        <w:rPr>
          <w:rFonts w:cs="Times New Roman"/>
          <w:szCs w:val="24"/>
        </w:rPr>
        <w:t>implementation</w:t>
      </w:r>
      <w:r w:rsidR="00F94C4F" w:rsidRPr="00094AEC">
        <w:rPr>
          <w:rFonts w:cs="Times New Roman"/>
          <w:szCs w:val="24"/>
        </w:rPr>
        <w:t xml:space="preserve"> of ESG related disclosure or other requirements adopted by the SEC or any other federal or state regulatory authority applicable to the Company</w:t>
      </w:r>
      <w:r w:rsidR="00835C2F" w:rsidRPr="00094AEC">
        <w:rPr>
          <w:rFonts w:cs="Times New Roman"/>
          <w:szCs w:val="24"/>
        </w:rPr>
        <w:t xml:space="preserve">; </w:t>
      </w:r>
    </w:p>
    <w:p w14:paraId="165BC4C0" w14:textId="53CD172F" w:rsidR="00835C2F" w:rsidRPr="00094AEC" w:rsidRDefault="00835C2F" w:rsidP="00E426BF">
      <w:pPr>
        <w:pStyle w:val="Heading4"/>
        <w:rPr>
          <w:rFonts w:cs="Times New Roman"/>
          <w:szCs w:val="24"/>
        </w:rPr>
      </w:pPr>
      <w:r w:rsidRPr="00094AEC">
        <w:rPr>
          <w:rFonts w:cs="Times New Roman"/>
          <w:szCs w:val="24"/>
        </w:rPr>
        <w:t>Making recommendations to the Board regarding</w:t>
      </w:r>
      <w:r w:rsidR="00EA55A2">
        <w:rPr>
          <w:rFonts w:cs="Times New Roman"/>
          <w:szCs w:val="24"/>
        </w:rPr>
        <w:t xml:space="preserve"> </w:t>
      </w:r>
      <w:r w:rsidRPr="00094AEC">
        <w:rPr>
          <w:rFonts w:cs="Times New Roman"/>
          <w:szCs w:val="24"/>
        </w:rPr>
        <w:t>appropriate metrics, procedures and targets relating to such matters to gauge progress toward achievement of the Company’s objectives</w:t>
      </w:r>
      <w:r w:rsidR="00E126AC">
        <w:rPr>
          <w:rFonts w:cs="Times New Roman"/>
          <w:szCs w:val="24"/>
        </w:rPr>
        <w:t>.</w:t>
      </w:r>
      <w:r w:rsidRPr="00094AEC">
        <w:rPr>
          <w:rFonts w:cs="Times New Roman"/>
          <w:szCs w:val="24"/>
        </w:rPr>
        <w:t xml:space="preserve"> </w:t>
      </w:r>
      <w:r w:rsidR="00E126AC">
        <w:rPr>
          <w:rFonts w:cs="Times New Roman"/>
          <w:szCs w:val="24"/>
        </w:rPr>
        <w:t>Ensure</w:t>
      </w:r>
      <w:r w:rsidRPr="00094AEC">
        <w:rPr>
          <w:rFonts w:cs="Times New Roman"/>
          <w:szCs w:val="24"/>
        </w:rPr>
        <w:t xml:space="preserve"> said metrics, procedures, and targets are integrated into the Company’s business plans and objectives</w:t>
      </w:r>
      <w:r w:rsidR="00F10703" w:rsidRPr="00094AEC">
        <w:rPr>
          <w:rFonts w:cs="Times New Roman"/>
          <w:szCs w:val="24"/>
        </w:rPr>
        <w:t>,</w:t>
      </w:r>
      <w:r w:rsidR="00F10703" w:rsidRPr="00094AEC">
        <w:rPr>
          <w:rFonts w:eastAsia="PMingLiU" w:cs="Times New Roman"/>
          <w:szCs w:val="24"/>
        </w:rPr>
        <w:t xml:space="preserve"> consistent with reasonably prudent oil and gas exploration and production industry practices</w:t>
      </w:r>
      <w:r w:rsidRPr="00094AEC">
        <w:rPr>
          <w:rFonts w:cs="Times New Roman"/>
          <w:szCs w:val="24"/>
        </w:rPr>
        <w:t xml:space="preserve">; </w:t>
      </w:r>
    </w:p>
    <w:p w14:paraId="2E1EF63D" w14:textId="77777777" w:rsidR="00835C2F" w:rsidRPr="00094AEC" w:rsidRDefault="00835C2F" w:rsidP="00E426BF">
      <w:pPr>
        <w:pStyle w:val="Heading4"/>
        <w:rPr>
          <w:rFonts w:cs="Times New Roman"/>
          <w:szCs w:val="24"/>
        </w:rPr>
      </w:pPr>
      <w:r w:rsidRPr="00094AEC">
        <w:rPr>
          <w:rFonts w:cs="Times New Roman"/>
          <w:szCs w:val="24"/>
        </w:rPr>
        <w:t xml:space="preserve">Reviewing any significant safety or environmental incidents, or material regulatory compliance violations; </w:t>
      </w:r>
    </w:p>
    <w:p w14:paraId="50B9C889" w14:textId="77777777" w:rsidR="00835C2F" w:rsidRPr="00094AEC" w:rsidRDefault="00835C2F" w:rsidP="00E426BF">
      <w:pPr>
        <w:pStyle w:val="Heading4"/>
        <w:rPr>
          <w:rFonts w:cs="Times New Roman"/>
          <w:szCs w:val="24"/>
        </w:rPr>
      </w:pPr>
      <w:r w:rsidRPr="00094AEC">
        <w:rPr>
          <w:rFonts w:cs="Times New Roman"/>
          <w:szCs w:val="24"/>
        </w:rPr>
        <w:t xml:space="preserve">Reviewing the scope and results of the Company’s audit program with respect to such matters; </w:t>
      </w:r>
    </w:p>
    <w:p w14:paraId="2D477650" w14:textId="39CE85E7" w:rsidR="00835C2F" w:rsidRPr="00094AEC" w:rsidRDefault="00835C2F" w:rsidP="00E426BF">
      <w:pPr>
        <w:pStyle w:val="Heading4"/>
        <w:rPr>
          <w:rFonts w:cs="Times New Roman"/>
          <w:szCs w:val="24"/>
        </w:rPr>
      </w:pPr>
      <w:r w:rsidRPr="00094AEC">
        <w:rPr>
          <w:rFonts w:cs="Times New Roman"/>
          <w:szCs w:val="24"/>
        </w:rPr>
        <w:t xml:space="preserve">Reviewing and monitoring key public policy trends, regulatory matters and other concerns that may impact </w:t>
      </w:r>
      <w:r w:rsidR="00FC5C59" w:rsidRPr="00094AEC">
        <w:rPr>
          <w:rFonts w:cs="Times New Roman"/>
          <w:szCs w:val="24"/>
        </w:rPr>
        <w:t xml:space="preserve">the exploration and production industry generally or </w:t>
      </w:r>
      <w:r w:rsidRPr="00094AEC">
        <w:rPr>
          <w:rFonts w:cs="Times New Roman"/>
          <w:szCs w:val="24"/>
        </w:rPr>
        <w:t xml:space="preserve">the Company’s business, strategies, operations, performance or reputation and its engagement in the public policy process; </w:t>
      </w:r>
    </w:p>
    <w:p w14:paraId="7730E445" w14:textId="77777777" w:rsidR="00835C2F" w:rsidRPr="00094AEC" w:rsidRDefault="00835C2F" w:rsidP="00E426BF">
      <w:pPr>
        <w:pStyle w:val="Heading4"/>
        <w:rPr>
          <w:rFonts w:cs="Times New Roman"/>
          <w:szCs w:val="24"/>
        </w:rPr>
      </w:pPr>
      <w:r w:rsidRPr="00094AEC">
        <w:rPr>
          <w:rFonts w:cs="Times New Roman"/>
          <w:szCs w:val="24"/>
        </w:rPr>
        <w:t xml:space="preserve">Reviewing the Company’s participation in industry and other organizations that express views about legislative and regulatory affairs; and </w:t>
      </w:r>
    </w:p>
    <w:p w14:paraId="3E700F36" w14:textId="236BBB54" w:rsidR="008A331C" w:rsidRPr="00094AEC" w:rsidRDefault="00835C2F" w:rsidP="00E426BF">
      <w:pPr>
        <w:pStyle w:val="Heading4"/>
        <w:rPr>
          <w:rFonts w:cs="Times New Roman"/>
          <w:szCs w:val="24"/>
        </w:rPr>
      </w:pPr>
      <w:r w:rsidRPr="00094AEC">
        <w:rPr>
          <w:rFonts w:cs="Times New Roman"/>
          <w:szCs w:val="24"/>
        </w:rPr>
        <w:t>Receiving reports regarding the Company’s political contributions, including all Company treasury and Company political activity committee expenditures for contributions to political parties, political committees, political candidates, ballot initiative committees or any entity exempt from federal income taxes under Section 527 of the Internal Revenue Code, and the portion of trade association dues that is non-deductible under §162(e) of the Internal Revenue Code.</w:t>
      </w:r>
    </w:p>
    <w:p w14:paraId="261650FB" w14:textId="7DFF48C0" w:rsidR="00835C2F" w:rsidRPr="00094AEC" w:rsidRDefault="00F10703" w:rsidP="00E426BF">
      <w:pPr>
        <w:pStyle w:val="Heading2"/>
        <w:rPr>
          <w:rFonts w:cs="Times New Roman"/>
          <w:szCs w:val="24"/>
        </w:rPr>
      </w:pPr>
      <w:r w:rsidRPr="00094AEC">
        <w:rPr>
          <w:rFonts w:cs="Times New Roman"/>
          <w:szCs w:val="24"/>
        </w:rPr>
        <w:lastRenderedPageBreak/>
        <w:t>A</w:t>
      </w:r>
      <w:r w:rsidR="00835C2F" w:rsidRPr="00094AEC">
        <w:rPr>
          <w:rFonts w:cs="Times New Roman"/>
          <w:szCs w:val="24"/>
        </w:rPr>
        <w:t xml:space="preserve">ssist the Board in reviewing, and </w:t>
      </w:r>
      <w:r w:rsidR="00E126AC">
        <w:rPr>
          <w:rFonts w:cs="Times New Roman"/>
          <w:szCs w:val="24"/>
        </w:rPr>
        <w:t>make</w:t>
      </w:r>
      <w:r w:rsidR="00E126AC" w:rsidRPr="00094AEC">
        <w:rPr>
          <w:rFonts w:cs="Times New Roman"/>
          <w:szCs w:val="24"/>
        </w:rPr>
        <w:t xml:space="preserve"> </w:t>
      </w:r>
      <w:r w:rsidR="00835C2F" w:rsidRPr="00094AEC">
        <w:rPr>
          <w:rFonts w:cs="Times New Roman"/>
          <w:szCs w:val="24"/>
        </w:rPr>
        <w:t>recommendations to the Board regarding, among other things:</w:t>
      </w:r>
    </w:p>
    <w:p w14:paraId="412D69BA" w14:textId="5095135B" w:rsidR="00835C2F" w:rsidRPr="00094AEC" w:rsidRDefault="00835C2F" w:rsidP="00835C2F">
      <w:pPr>
        <w:pStyle w:val="Heading4"/>
        <w:rPr>
          <w:rFonts w:cs="Times New Roman"/>
          <w:szCs w:val="24"/>
        </w:rPr>
      </w:pPr>
      <w:r w:rsidRPr="00094AEC">
        <w:rPr>
          <w:rFonts w:cs="Times New Roman"/>
          <w:szCs w:val="24"/>
        </w:rPr>
        <w:t xml:space="preserve">Trends related to broad public policy issues, including climate change, economic policy, natural resource policy, environmental, health and safety matters and other broad public policy issues, that could significantly affect </w:t>
      </w:r>
      <w:r w:rsidR="0033188A" w:rsidRPr="00094AEC">
        <w:rPr>
          <w:rFonts w:cs="Times New Roman"/>
          <w:szCs w:val="24"/>
        </w:rPr>
        <w:t xml:space="preserve">the exploration and production industry generally or </w:t>
      </w:r>
      <w:r w:rsidRPr="00094AEC">
        <w:rPr>
          <w:rFonts w:cs="Times New Roman"/>
          <w:szCs w:val="24"/>
        </w:rPr>
        <w:t>the Company and formulating and adopting related basic policies, programs and practices where appropriate;</w:t>
      </w:r>
    </w:p>
    <w:p w14:paraId="063DD56C" w14:textId="72BB8DE6" w:rsidR="00835C2F" w:rsidRPr="00094AEC" w:rsidRDefault="00835C2F" w:rsidP="00835C2F">
      <w:pPr>
        <w:pStyle w:val="Heading4"/>
        <w:rPr>
          <w:rFonts w:cs="Times New Roman"/>
          <w:szCs w:val="24"/>
        </w:rPr>
      </w:pPr>
      <w:r w:rsidRPr="00094AEC">
        <w:rPr>
          <w:rFonts w:cs="Times New Roman"/>
          <w:szCs w:val="24"/>
        </w:rPr>
        <w:t xml:space="preserve">Existing policies, programs and practices to ensure that </w:t>
      </w:r>
      <w:r w:rsidR="00FC5C59" w:rsidRPr="00094AEC">
        <w:rPr>
          <w:rFonts w:cs="Times New Roman"/>
          <w:szCs w:val="24"/>
        </w:rPr>
        <w:t>M</w:t>
      </w:r>
      <w:r w:rsidRPr="00094AEC">
        <w:rPr>
          <w:rFonts w:cs="Times New Roman"/>
          <w:szCs w:val="24"/>
        </w:rPr>
        <w:t>anagement and the Board are aligned in their assessment of public policy and reputational risk in the business;</w:t>
      </w:r>
    </w:p>
    <w:p w14:paraId="0D314357" w14:textId="11E89DB5" w:rsidR="00835C2F" w:rsidRPr="00094AEC" w:rsidRDefault="00835C2F" w:rsidP="00835C2F">
      <w:pPr>
        <w:pStyle w:val="Heading4"/>
        <w:rPr>
          <w:rFonts w:cs="Times New Roman"/>
          <w:szCs w:val="24"/>
        </w:rPr>
      </w:pPr>
      <w:r w:rsidRPr="00094AEC">
        <w:rPr>
          <w:rFonts w:cs="Times New Roman"/>
          <w:szCs w:val="24"/>
        </w:rPr>
        <w:t xml:space="preserve">Analyses of the Company’s reputation </w:t>
      </w:r>
      <w:r w:rsidR="00B7672F" w:rsidRPr="00094AEC">
        <w:rPr>
          <w:rFonts w:cs="Times New Roman"/>
          <w:szCs w:val="24"/>
        </w:rPr>
        <w:t xml:space="preserve">both </w:t>
      </w:r>
      <w:r w:rsidR="00AE1CC2" w:rsidRPr="00094AEC">
        <w:rPr>
          <w:rFonts w:cs="Times New Roman"/>
          <w:szCs w:val="24"/>
        </w:rPr>
        <w:t>globally</w:t>
      </w:r>
      <w:r w:rsidR="00B7672F" w:rsidRPr="00094AEC">
        <w:rPr>
          <w:rFonts w:cs="Times New Roman"/>
          <w:szCs w:val="24"/>
        </w:rPr>
        <w:t xml:space="preserve"> and </w:t>
      </w:r>
      <w:r w:rsidR="0033188A" w:rsidRPr="00094AEC">
        <w:rPr>
          <w:rFonts w:cs="Times New Roman"/>
          <w:szCs w:val="24"/>
        </w:rPr>
        <w:t>in the communities in which it participates</w:t>
      </w:r>
      <w:r w:rsidRPr="00094AEC">
        <w:rPr>
          <w:rFonts w:cs="Times New Roman"/>
          <w:szCs w:val="24"/>
        </w:rPr>
        <w:t>; and</w:t>
      </w:r>
    </w:p>
    <w:p w14:paraId="35F10F70" w14:textId="203FA512" w:rsidR="00835C2F" w:rsidRPr="00094AEC" w:rsidRDefault="00835C2F" w:rsidP="00835C2F">
      <w:pPr>
        <w:pStyle w:val="Heading4"/>
        <w:rPr>
          <w:rFonts w:cs="Times New Roman"/>
          <w:szCs w:val="24"/>
        </w:rPr>
      </w:pPr>
      <w:r w:rsidRPr="00094AEC">
        <w:rPr>
          <w:rFonts w:cs="Times New Roman"/>
          <w:szCs w:val="24"/>
        </w:rPr>
        <w:t>The Company’s operational risks and such other risks as may be delegated to the Committee by the Board.</w:t>
      </w:r>
    </w:p>
    <w:p w14:paraId="7BA8BD61" w14:textId="77777777" w:rsidR="008108E5" w:rsidRDefault="00F10703" w:rsidP="00835C2F">
      <w:pPr>
        <w:pStyle w:val="Heading2"/>
        <w:rPr>
          <w:rFonts w:cs="Times New Roman"/>
          <w:szCs w:val="24"/>
        </w:rPr>
      </w:pPr>
      <w:r w:rsidRPr="00094AEC">
        <w:rPr>
          <w:rFonts w:cs="Times New Roman"/>
          <w:szCs w:val="24"/>
        </w:rPr>
        <w:t>C</w:t>
      </w:r>
      <w:r w:rsidR="00835C2F" w:rsidRPr="00094AEC">
        <w:rPr>
          <w:rFonts w:cs="Times New Roman"/>
          <w:szCs w:val="24"/>
        </w:rPr>
        <w:t>oordinate with other</w:t>
      </w:r>
      <w:r w:rsidRPr="00094AEC">
        <w:rPr>
          <w:rFonts w:cs="Times New Roman"/>
          <w:szCs w:val="24"/>
        </w:rPr>
        <w:t xml:space="preserve"> committees of the</w:t>
      </w:r>
      <w:r w:rsidR="00835C2F" w:rsidRPr="00094AEC">
        <w:rPr>
          <w:rFonts w:cs="Times New Roman"/>
          <w:szCs w:val="24"/>
        </w:rPr>
        <w:t xml:space="preserve"> Board in fulfilling oversight responsibility related to ESG matters that reside within their charter responsibilities.</w:t>
      </w:r>
      <w:r w:rsidR="008108E5">
        <w:rPr>
          <w:rFonts w:cs="Times New Roman"/>
          <w:szCs w:val="24"/>
        </w:rPr>
        <w:t xml:space="preserve"> In this regard, this Committee will engage the below committees regarding, among other things:</w:t>
      </w:r>
    </w:p>
    <w:p w14:paraId="7415411E" w14:textId="58C2BB6B" w:rsidR="008108E5" w:rsidRPr="008C56D3" w:rsidRDefault="008108E5" w:rsidP="00BC6090">
      <w:pPr>
        <w:pStyle w:val="Heading4"/>
      </w:pPr>
      <w:r w:rsidRPr="008C56D3">
        <w:t xml:space="preserve">Nominating &amp; Governance Committee: </w:t>
      </w:r>
      <w:r>
        <w:t>board diversity</w:t>
      </w:r>
      <w:r w:rsidR="00B4254C">
        <w:t>;</w:t>
      </w:r>
      <w:r>
        <w:t xml:space="preserve"> director conflicts of interest</w:t>
      </w:r>
      <w:r w:rsidR="00B4254C">
        <w:t>;</w:t>
      </w:r>
      <w:r>
        <w:t xml:space="preserve"> stockholder rights and engagement</w:t>
      </w:r>
      <w:r w:rsidR="00B4254C">
        <w:t>;</w:t>
      </w:r>
      <w:r>
        <w:t xml:space="preserve"> </w:t>
      </w:r>
      <w:r w:rsidR="00B4254C">
        <w:t xml:space="preserve">policies and procedures governing the Code of Business Conduct and Ethics; </w:t>
      </w:r>
      <w:r>
        <w:t>and emerging governance trends, best practices, and regulations applicable to the Company</w:t>
      </w:r>
      <w:r w:rsidR="00B4254C">
        <w:t>.</w:t>
      </w:r>
    </w:p>
    <w:p w14:paraId="3FD49EB4" w14:textId="6ACCE0EA" w:rsidR="008108E5" w:rsidRPr="008C56D3" w:rsidRDefault="008108E5" w:rsidP="00BC6090">
      <w:pPr>
        <w:pStyle w:val="Heading4"/>
      </w:pPr>
      <w:r w:rsidRPr="008C56D3">
        <w:t>Compensation Committee:</w:t>
      </w:r>
      <w:r>
        <w:t xml:space="preserve"> corporate officer and director compensation</w:t>
      </w:r>
      <w:r w:rsidR="00B4254C">
        <w:t xml:space="preserve">; </w:t>
      </w:r>
      <w:r w:rsidR="002E4BBC">
        <w:t xml:space="preserve">and </w:t>
      </w:r>
      <w:r w:rsidR="00B4254C">
        <w:t xml:space="preserve">oversight of </w:t>
      </w:r>
      <w:r w:rsidR="002E4BBC">
        <w:t>M</w:t>
      </w:r>
      <w:r w:rsidR="00B4254C">
        <w:t>anagement’s engagement with stockholders and proxy advisory firms relating to executive compensation matters.</w:t>
      </w:r>
      <w:r>
        <w:t xml:space="preserve"> </w:t>
      </w:r>
    </w:p>
    <w:p w14:paraId="2565551F" w14:textId="2A2493A7" w:rsidR="00835C2F" w:rsidRPr="00094AEC" w:rsidRDefault="008108E5" w:rsidP="00BC6090">
      <w:pPr>
        <w:pStyle w:val="Heading4"/>
      </w:pPr>
      <w:r w:rsidRPr="008C56D3">
        <w:t>Audit &amp; Reserves Committee:</w:t>
      </w:r>
      <w:r w:rsidR="00415F5F" w:rsidRPr="008C56D3">
        <w:t xml:space="preserve"> </w:t>
      </w:r>
      <w:r w:rsidR="00415F5F">
        <w:t xml:space="preserve">discussion with Management regarding the Company’s guidelines and policies with respect to risk assessment and risk </w:t>
      </w:r>
      <w:r w:rsidR="002E4BBC">
        <w:t>m</w:t>
      </w:r>
      <w:r w:rsidR="00415F5F">
        <w:t>anagement, as well as any significant exposure to, among other things, cybersecurity risk.</w:t>
      </w:r>
      <w:r w:rsidR="00835C2F" w:rsidRPr="00094AEC">
        <w:t xml:space="preserve"> </w:t>
      </w:r>
    </w:p>
    <w:p w14:paraId="0B07B988" w14:textId="2CFB2BFE" w:rsidR="00FC5C59" w:rsidRPr="00094AEC" w:rsidRDefault="00FC5C59" w:rsidP="00FC5C59">
      <w:pPr>
        <w:pStyle w:val="Heading2"/>
        <w:rPr>
          <w:rFonts w:cs="Times New Roman"/>
          <w:szCs w:val="24"/>
        </w:rPr>
      </w:pPr>
      <w:r w:rsidRPr="00094AEC">
        <w:rPr>
          <w:rFonts w:cs="Times New Roman"/>
          <w:szCs w:val="24"/>
        </w:rPr>
        <w:t>Provide oversight, guidance and perspective to Management and the Board regarding the Company’s policies, programs and initiatives related to socially responsible business conduct and the promotion of diversity.</w:t>
      </w:r>
    </w:p>
    <w:p w14:paraId="3B9A3D8E" w14:textId="3393B673" w:rsidR="00F10703" w:rsidRPr="00094AEC" w:rsidRDefault="00F10703" w:rsidP="00F10703">
      <w:pPr>
        <w:pStyle w:val="Heading2"/>
        <w:rPr>
          <w:rFonts w:cs="Times New Roman"/>
          <w:szCs w:val="24"/>
        </w:rPr>
      </w:pPr>
      <w:r w:rsidRPr="00094AEC">
        <w:rPr>
          <w:rFonts w:cs="Times New Roman"/>
          <w:szCs w:val="24"/>
        </w:rPr>
        <w:t xml:space="preserve">Provide oversight, guidance and perspective to </w:t>
      </w:r>
      <w:r w:rsidR="00FC5C59" w:rsidRPr="00094AEC">
        <w:rPr>
          <w:rFonts w:cs="Times New Roman"/>
          <w:szCs w:val="24"/>
        </w:rPr>
        <w:t>M</w:t>
      </w:r>
      <w:r w:rsidRPr="00094AEC">
        <w:rPr>
          <w:rFonts w:cs="Times New Roman"/>
          <w:szCs w:val="24"/>
        </w:rPr>
        <w:t xml:space="preserve">anagement and the Board regarding the Company’s </w:t>
      </w:r>
      <w:r w:rsidR="00FC5C59" w:rsidRPr="00094AEC">
        <w:rPr>
          <w:rFonts w:cs="Times New Roman"/>
          <w:szCs w:val="24"/>
        </w:rPr>
        <w:t xml:space="preserve">support of charitable organizations and community affairs, </w:t>
      </w:r>
      <w:r w:rsidRPr="00094AEC">
        <w:rPr>
          <w:rFonts w:cs="Times New Roman"/>
          <w:szCs w:val="24"/>
        </w:rPr>
        <w:t>philanthropic strategy and giving.</w:t>
      </w:r>
    </w:p>
    <w:p w14:paraId="273837D8" w14:textId="36871F8B" w:rsidR="00F10703" w:rsidRPr="00094AEC" w:rsidRDefault="00BA02D1" w:rsidP="00F10703">
      <w:pPr>
        <w:pStyle w:val="Heading2"/>
        <w:rPr>
          <w:rFonts w:cs="Times New Roman"/>
          <w:szCs w:val="24"/>
        </w:rPr>
      </w:pPr>
      <w:r>
        <w:rPr>
          <w:rFonts w:cs="Times New Roman"/>
          <w:szCs w:val="24"/>
        </w:rPr>
        <w:lastRenderedPageBreak/>
        <w:t>Review and make recommendations to the Board regarding Management’s recommendations for the</w:t>
      </w:r>
      <w:r w:rsidR="00F10703" w:rsidRPr="00094AEC">
        <w:rPr>
          <w:rFonts w:cs="Times New Roman"/>
          <w:szCs w:val="24"/>
        </w:rPr>
        <w:t xml:space="preserve"> Company’s annual corporate giving budget.</w:t>
      </w:r>
    </w:p>
    <w:p w14:paraId="39A2857C" w14:textId="77777777" w:rsidR="008A331C" w:rsidRPr="00094AEC" w:rsidRDefault="008A331C" w:rsidP="008A331C">
      <w:pPr>
        <w:pStyle w:val="Heading1"/>
        <w:keepNext w:val="0"/>
        <w:rPr>
          <w:rFonts w:cs="Times New Roman"/>
          <w:szCs w:val="24"/>
        </w:rPr>
      </w:pPr>
      <w:r w:rsidRPr="00094AEC">
        <w:rPr>
          <w:rFonts w:cs="Times New Roman"/>
          <w:szCs w:val="24"/>
        </w:rPr>
        <w:t>Procedures</w:t>
      </w:r>
    </w:p>
    <w:p w14:paraId="2AE7A5BD" w14:textId="78D1EF89" w:rsidR="008A331C" w:rsidRPr="00094AEC" w:rsidRDefault="008A331C" w:rsidP="008A331C">
      <w:pPr>
        <w:pStyle w:val="Heading2"/>
        <w:rPr>
          <w:rFonts w:cs="Times New Roman"/>
          <w:szCs w:val="24"/>
        </w:rPr>
      </w:pPr>
      <w:r w:rsidRPr="00094AEC">
        <w:rPr>
          <w:rFonts w:cs="Times New Roman"/>
          <w:b/>
          <w:bCs/>
          <w:i/>
          <w:iCs/>
          <w:szCs w:val="24"/>
        </w:rPr>
        <w:t>Meetings</w:t>
      </w:r>
      <w:r w:rsidRPr="00094AEC">
        <w:rPr>
          <w:rFonts w:cs="Times New Roman"/>
          <w:szCs w:val="24"/>
        </w:rPr>
        <w:t>. The Committee shall meet at the call of its Chair, two or more members of the Committee or the Board Chair. The Committee shall meet</w:t>
      </w:r>
      <w:r w:rsidR="00E426BF" w:rsidRPr="00094AEC">
        <w:rPr>
          <w:rFonts w:cs="Times New Roman"/>
          <w:szCs w:val="24"/>
        </w:rPr>
        <w:t xml:space="preserve"> at least four times annually or more frequently as </w:t>
      </w:r>
      <w:r w:rsidRPr="00094AEC">
        <w:rPr>
          <w:rFonts w:cs="Times New Roman"/>
          <w:szCs w:val="24"/>
        </w:rPr>
        <w:t>circumstances dictate. Meetings of the Committee may be in person, by conference call</w:t>
      </w:r>
      <w:r w:rsidR="00F94C4F" w:rsidRPr="00094AEC">
        <w:rPr>
          <w:rFonts w:cs="Times New Roman"/>
          <w:szCs w:val="24"/>
        </w:rPr>
        <w:t>, by video conference link,</w:t>
      </w:r>
      <w:r w:rsidRPr="00094AEC">
        <w:rPr>
          <w:rFonts w:cs="Times New Roman"/>
          <w:szCs w:val="24"/>
        </w:rPr>
        <w:t xml:space="preserve"> or by unanimous written consent, in accordance with the Company’s Bylaws. Meetings of the Committee shall be held at such time and place, and upon such notice, as its Chair may from time to time determine. </w:t>
      </w:r>
    </w:p>
    <w:p w14:paraId="61D37143" w14:textId="77777777" w:rsidR="008A331C" w:rsidRPr="00094AEC" w:rsidRDefault="008A331C" w:rsidP="008A331C">
      <w:pPr>
        <w:pStyle w:val="Heading2"/>
        <w:rPr>
          <w:rFonts w:cs="Times New Roman"/>
          <w:szCs w:val="24"/>
        </w:rPr>
      </w:pPr>
      <w:r w:rsidRPr="00094AEC">
        <w:rPr>
          <w:rFonts w:cs="Times New Roman"/>
          <w:b/>
          <w:bCs/>
          <w:i/>
          <w:iCs/>
          <w:szCs w:val="24"/>
        </w:rPr>
        <w:t>Quorum and Approval</w:t>
      </w:r>
      <w:r w:rsidRPr="00094AEC">
        <w:rPr>
          <w:rFonts w:cs="Times New Roman"/>
          <w:szCs w:val="24"/>
        </w:rPr>
        <w:t>. A majority of the Committee’s members shall constitute a quorum. The Committee shall act on the affirmative vote of a majority of members present at a meeting at which a quorum is present. The Committee may also act by unanimous written consent in lieu of a meeting.</w:t>
      </w:r>
    </w:p>
    <w:p w14:paraId="07ACFC46" w14:textId="38201C36" w:rsidR="008A331C" w:rsidRPr="00094AEC" w:rsidRDefault="008A331C" w:rsidP="008A331C">
      <w:pPr>
        <w:pStyle w:val="Heading2"/>
        <w:rPr>
          <w:rFonts w:cs="Times New Roman"/>
          <w:szCs w:val="24"/>
        </w:rPr>
      </w:pPr>
      <w:r w:rsidRPr="00094AEC">
        <w:rPr>
          <w:rFonts w:cs="Times New Roman"/>
          <w:b/>
          <w:bCs/>
          <w:i/>
          <w:iCs/>
          <w:szCs w:val="24"/>
        </w:rPr>
        <w:t>Rules</w:t>
      </w:r>
      <w:r w:rsidRPr="00094AEC">
        <w:rPr>
          <w:rFonts w:cs="Times New Roman"/>
          <w:szCs w:val="24"/>
        </w:rPr>
        <w:t>. The Committee may determine additional rules and procedures, including designation of a Chair pro tempore in the absence of its Chair and designation of a secretary of the Committee at any meeting thereof.</w:t>
      </w:r>
    </w:p>
    <w:p w14:paraId="1256B03F" w14:textId="1CD65199" w:rsidR="008A331C" w:rsidRPr="00094AEC" w:rsidRDefault="008A331C" w:rsidP="008A331C">
      <w:pPr>
        <w:pStyle w:val="Heading2"/>
        <w:rPr>
          <w:rFonts w:cs="Times New Roman"/>
          <w:szCs w:val="24"/>
        </w:rPr>
      </w:pPr>
      <w:r w:rsidRPr="00094AEC">
        <w:rPr>
          <w:rFonts w:cs="Times New Roman"/>
          <w:b/>
          <w:bCs/>
          <w:i/>
          <w:iCs/>
          <w:szCs w:val="24"/>
        </w:rPr>
        <w:t>Reports</w:t>
      </w:r>
      <w:r w:rsidRPr="00094AEC">
        <w:rPr>
          <w:rFonts w:cs="Times New Roman"/>
          <w:szCs w:val="24"/>
        </w:rPr>
        <w:t>. The Committee shall maintain minutes of its meetings and make regular oral or written reports to the Board, directly or through its Chair, of its actions and any recommendations to the Board.</w:t>
      </w:r>
    </w:p>
    <w:p w14:paraId="22B417D0" w14:textId="0F88B526" w:rsidR="008A331C" w:rsidRPr="00094AEC" w:rsidRDefault="008A331C" w:rsidP="008A331C">
      <w:pPr>
        <w:pStyle w:val="Heading2"/>
        <w:rPr>
          <w:rFonts w:cs="Times New Roman"/>
          <w:szCs w:val="24"/>
        </w:rPr>
      </w:pPr>
      <w:r w:rsidRPr="00094AEC">
        <w:rPr>
          <w:rFonts w:cs="Times New Roman"/>
          <w:b/>
          <w:bCs/>
          <w:i/>
          <w:iCs/>
          <w:szCs w:val="24"/>
        </w:rPr>
        <w:t>Review of Charter</w:t>
      </w:r>
      <w:r w:rsidRPr="00094AEC">
        <w:rPr>
          <w:rFonts w:cs="Times New Roman"/>
          <w:szCs w:val="24"/>
        </w:rPr>
        <w:t>. Each year, the Committee shall review the need for changes in this Charter and recommend any proposed changes to the Board for approval.</w:t>
      </w:r>
    </w:p>
    <w:p w14:paraId="72023F81" w14:textId="5332A7FA" w:rsidR="008A331C" w:rsidRPr="00094AEC" w:rsidRDefault="008A331C" w:rsidP="008A331C">
      <w:pPr>
        <w:pStyle w:val="Heading2"/>
        <w:rPr>
          <w:rFonts w:cs="Times New Roman"/>
          <w:szCs w:val="24"/>
        </w:rPr>
      </w:pPr>
      <w:r w:rsidRPr="00094AEC">
        <w:rPr>
          <w:rFonts w:cs="Times New Roman"/>
          <w:b/>
          <w:bCs/>
          <w:i/>
          <w:iCs/>
          <w:szCs w:val="24"/>
        </w:rPr>
        <w:t>Performance Review</w:t>
      </w:r>
      <w:r w:rsidRPr="00094AEC">
        <w:rPr>
          <w:rFonts w:cs="Times New Roman"/>
          <w:szCs w:val="24"/>
        </w:rPr>
        <w:t>. Each year, the Committee shall review and evaluate its own performance and shall submit itself to a review and evaluation by the Board.</w:t>
      </w:r>
    </w:p>
    <w:p w14:paraId="5962FDAE" w14:textId="5F0C92D5" w:rsidR="00D72495" w:rsidRPr="00094AEC" w:rsidRDefault="00D72495" w:rsidP="00E426BF">
      <w:pPr>
        <w:pStyle w:val="Heading2"/>
        <w:tabs>
          <w:tab w:val="left" w:pos="720"/>
        </w:tabs>
        <w:rPr>
          <w:rFonts w:cs="Times New Roman"/>
          <w:szCs w:val="24"/>
        </w:rPr>
      </w:pPr>
      <w:r w:rsidRPr="00094AEC">
        <w:rPr>
          <w:rFonts w:cs="Times New Roman"/>
          <w:b/>
          <w:i/>
          <w:szCs w:val="24"/>
        </w:rPr>
        <w:t>Fees; Reimbursement of Expenses</w:t>
      </w:r>
      <w:r w:rsidRPr="00094AEC">
        <w:rPr>
          <w:rFonts w:cs="Times New Roman"/>
          <w:szCs w:val="24"/>
        </w:rPr>
        <w:t>.  Each member of the Committee</w:t>
      </w:r>
      <w:r w:rsidR="00BA02D1">
        <w:rPr>
          <w:rFonts w:cs="Times New Roman"/>
          <w:szCs w:val="24"/>
        </w:rPr>
        <w:t>,</w:t>
      </w:r>
      <w:r w:rsidRPr="00094AEC">
        <w:rPr>
          <w:rFonts w:cs="Times New Roman"/>
          <w:szCs w:val="24"/>
        </w:rPr>
        <w:t xml:space="preserve"> </w:t>
      </w:r>
      <w:r w:rsidR="00BA02D1">
        <w:rPr>
          <w:rFonts w:cs="Times New Roman"/>
          <w:szCs w:val="24"/>
        </w:rPr>
        <w:t>including</w:t>
      </w:r>
      <w:r w:rsidRPr="00094AEC">
        <w:rPr>
          <w:rFonts w:cs="Times New Roman"/>
          <w:szCs w:val="24"/>
        </w:rPr>
        <w:t xml:space="preserve"> the Chair</w:t>
      </w:r>
      <w:r w:rsidR="00BA02D1">
        <w:rPr>
          <w:rFonts w:cs="Times New Roman"/>
          <w:szCs w:val="24"/>
        </w:rPr>
        <w:t>,</w:t>
      </w:r>
      <w:r w:rsidRPr="00094AEC">
        <w:rPr>
          <w:rFonts w:cs="Times New Roman"/>
          <w:szCs w:val="24"/>
        </w:rPr>
        <w:t xml:space="preserve"> will be paid the fee set by the Board for his or her services as a member or Chair, as the case may be, of the Committee.  Subject to the Company’s Corporate Governance Guidelines and other policies, Committee members, including the Chair, will be reimbursed by the Company for all reasonable expenses incurred in connection with their duties as Committee members.</w:t>
      </w:r>
    </w:p>
    <w:p w14:paraId="5B4B39DD" w14:textId="77777777" w:rsidR="008A331C" w:rsidRPr="00094AEC" w:rsidRDefault="008A331C" w:rsidP="008A331C">
      <w:pPr>
        <w:pStyle w:val="Heading1"/>
        <w:keepNext w:val="0"/>
        <w:rPr>
          <w:rFonts w:cs="Times New Roman"/>
          <w:szCs w:val="24"/>
        </w:rPr>
      </w:pPr>
      <w:r w:rsidRPr="00094AEC">
        <w:rPr>
          <w:rFonts w:cs="Times New Roman"/>
          <w:szCs w:val="24"/>
        </w:rPr>
        <w:t>Posting Requirement</w:t>
      </w:r>
    </w:p>
    <w:p w14:paraId="6FF7B2D1" w14:textId="538EDBDF" w:rsidR="008A331C" w:rsidRPr="00094AEC" w:rsidRDefault="008A331C" w:rsidP="008A331C">
      <w:pPr>
        <w:rPr>
          <w:szCs w:val="24"/>
        </w:rPr>
      </w:pPr>
      <w:r w:rsidRPr="00094AEC">
        <w:rPr>
          <w:szCs w:val="24"/>
        </w:rPr>
        <w:t>The Company shall post this Charter on the Company’s website as required by applicable rules and regulations. In addition, the Company shall disclose in its proxy statement for its annual meeting of stockholders that a copy of this Charter is available on the Company’s website</w:t>
      </w:r>
      <w:r w:rsidR="00D72495" w:rsidRPr="00094AEC">
        <w:rPr>
          <w:szCs w:val="24"/>
        </w:rPr>
        <w:t xml:space="preserve"> and provide the website address</w:t>
      </w:r>
      <w:r w:rsidRPr="00094AEC">
        <w:rPr>
          <w:szCs w:val="24"/>
        </w:rPr>
        <w:t>.</w:t>
      </w:r>
    </w:p>
    <w:p w14:paraId="0C93EC79" w14:textId="77777777" w:rsidR="008A331C" w:rsidRPr="00094AEC" w:rsidRDefault="008A331C" w:rsidP="008A331C">
      <w:pPr>
        <w:pStyle w:val="CTCenteredText"/>
        <w:rPr>
          <w:szCs w:val="24"/>
        </w:rPr>
      </w:pPr>
      <w:r w:rsidRPr="00094AEC">
        <w:rPr>
          <w:szCs w:val="24"/>
        </w:rPr>
        <w:t>* * *</w:t>
      </w:r>
    </w:p>
    <w:p w14:paraId="7DEEA3F2" w14:textId="02000EF7" w:rsidR="00B14AE4" w:rsidRPr="00094AEC" w:rsidRDefault="008A331C" w:rsidP="008A331C">
      <w:pPr>
        <w:rPr>
          <w:szCs w:val="24"/>
        </w:rPr>
      </w:pPr>
      <w:r w:rsidRPr="00094AEC">
        <w:rPr>
          <w:szCs w:val="24"/>
        </w:rPr>
        <w:lastRenderedPageBreak/>
        <w:t>While the Committee members have the duties and responsibilities set forth in this Charter, nothing contained in this Charter is intended to create, or should be construed as creating, any responsibility or liability of the Committee members, except to the extent otherwise provided under applicable federal or state law.</w:t>
      </w:r>
    </w:p>
    <w:sectPr w:rsidR="00B14AE4" w:rsidRPr="00094AEC" w:rsidSect="009C17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F76C" w14:textId="77777777" w:rsidR="00021419" w:rsidRDefault="00021419">
      <w:r>
        <w:separator/>
      </w:r>
    </w:p>
  </w:endnote>
  <w:endnote w:type="continuationSeparator" w:id="0">
    <w:p w14:paraId="6C1EE91B" w14:textId="77777777" w:rsidR="00021419" w:rsidRDefault="0002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8F1" w14:textId="77777777" w:rsidR="00FD7480" w:rsidRDefault="00FD7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30388"/>
      <w:docPartObj>
        <w:docPartGallery w:val="Page Numbers (Bottom of Page)"/>
        <w:docPartUnique/>
      </w:docPartObj>
    </w:sdtPr>
    <w:sdtEndPr>
      <w:rPr>
        <w:noProof/>
      </w:rPr>
    </w:sdtEndPr>
    <w:sdtContent>
      <w:p w14:paraId="5D78CE01" w14:textId="227B3D8A" w:rsidR="00E12586" w:rsidRDefault="00E12586" w:rsidP="008F0529">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53E4" w14:textId="77777777" w:rsidR="00FD7480" w:rsidRDefault="00FD7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35E6" w14:textId="77777777" w:rsidR="00021419" w:rsidRDefault="00021419">
      <w:r>
        <w:separator/>
      </w:r>
    </w:p>
  </w:footnote>
  <w:footnote w:type="continuationSeparator" w:id="0">
    <w:p w14:paraId="0DFED7F9" w14:textId="77777777" w:rsidR="00021419" w:rsidRDefault="0002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3EAF" w14:textId="77777777" w:rsidR="00FD7480" w:rsidRDefault="00FD7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9101" w14:textId="77777777" w:rsidR="00FD7480" w:rsidRDefault="00FD7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03FA" w14:textId="77777777" w:rsidR="00FD7480" w:rsidRDefault="00FD7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8EE"/>
    <w:multiLevelType w:val="hybridMultilevel"/>
    <w:tmpl w:val="91EA5138"/>
    <w:name w:val="LN1 ListNumber"/>
    <w:lvl w:ilvl="0" w:tplc="6EFE731C">
      <w:start w:val="1"/>
      <w:numFmt w:val="decimal"/>
      <w:lvlRestart w:val="0"/>
      <w:pStyle w:val="LN1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1F91"/>
    <w:multiLevelType w:val="hybridMultilevel"/>
    <w:tmpl w:val="0010B3D4"/>
    <w:name w:val="LB ListBullet"/>
    <w:lvl w:ilvl="0" w:tplc="6E726A1E">
      <w:start w:val="1"/>
      <w:numFmt w:val="bullet"/>
      <w:lvlRestart w:val="0"/>
      <w:pStyle w:val="LBList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2428"/>
    <w:multiLevelType w:val="multilevel"/>
    <w:tmpl w:val="3FAE61F8"/>
    <w:name w:val="I.A.1.a. - Indent"/>
    <w:lvl w:ilvl="0">
      <w:start w:val="1"/>
      <w:numFmt w:val="upperRoman"/>
      <w:lvlRestart w:val="0"/>
      <w:pStyle w:val="Heading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Heading2"/>
      <w:lvlText w:val="%2."/>
      <w:lvlJc w:val="left"/>
      <w:pPr>
        <w:tabs>
          <w:tab w:val="num" w:pos="72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Restart w:val="0"/>
      <w:pStyle w:val="Heading3"/>
      <w:lvlText w:val="%3."/>
      <w:lvlJc w:val="left"/>
      <w:pPr>
        <w:ind w:left="1440" w:firstLine="0"/>
      </w:pPr>
      <w:rPr>
        <w:b w:val="0"/>
        <w:i w:val="0"/>
        <w:caps w:val="0"/>
        <w:strike w:val="0"/>
        <w:dstrike w:val="0"/>
        <w:vanish w:val="0"/>
        <w:color w:val="auto"/>
        <w:sz w:val="24"/>
        <w:u w:val="none"/>
        <w:vertAlign w:val="baseline"/>
      </w:rPr>
    </w:lvl>
    <w:lvl w:ilvl="3">
      <w:start w:val="1"/>
      <w:numFmt w:val="decimal"/>
      <w:lvlRestart w:val="2"/>
      <w:pStyle w:val="Heading4"/>
      <w:lvlText w:val="%4."/>
      <w:lvlJc w:val="left"/>
      <w:pPr>
        <w:tabs>
          <w:tab w:val="num" w:pos="72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eading5"/>
      <w:lvlText w:val="(%5)"/>
      <w:lvlJc w:val="left"/>
      <w:pPr>
        <w:tabs>
          <w:tab w:val="num" w:pos="720"/>
        </w:tabs>
        <w:ind w:left="2880" w:hanging="720"/>
      </w:pPr>
      <w:rPr>
        <w:rFonts w:hint="default"/>
        <w:b w:val="0"/>
        <w:i w:val="0"/>
        <w:caps w:val="0"/>
        <w:strike w:val="0"/>
        <w:dstrike w:val="0"/>
        <w:vanish w:val="0"/>
        <w:color w:val="auto"/>
        <w:sz w:val="24"/>
        <w:u w:val="none"/>
        <w:vertAlign w:val="baseline"/>
      </w:rPr>
    </w:lvl>
    <w:lvl w:ilvl="5">
      <w:start w:val="1"/>
      <w:numFmt w:val="lowerRoman"/>
      <w:pStyle w:val="Heading6"/>
      <w:lvlText w:val="(%6)"/>
      <w:lvlJc w:val="left"/>
      <w:pPr>
        <w:tabs>
          <w:tab w:val="num" w:pos="720"/>
        </w:tabs>
        <w:ind w:left="3600" w:hanging="720"/>
      </w:pPr>
      <w:rPr>
        <w:b w:val="0"/>
        <w:i w:val="0"/>
        <w:caps w:val="0"/>
        <w:strike w:val="0"/>
        <w:dstrike w:val="0"/>
        <w:vanish w:val="0"/>
        <w:color w:val="auto"/>
        <w:sz w:val="24"/>
        <w:u w:val="none"/>
        <w:vertAlign w:val="baseline"/>
      </w:rPr>
    </w:lvl>
    <w:lvl w:ilvl="6">
      <w:start w:val="1"/>
      <w:numFmt w:val="upperLetter"/>
      <w:pStyle w:val="Heading7"/>
      <w:lvlText w:val="(%7)"/>
      <w:lvlJc w:val="left"/>
      <w:pPr>
        <w:tabs>
          <w:tab w:val="num" w:pos="720"/>
        </w:tabs>
        <w:ind w:left="4320" w:hanging="720"/>
      </w:pPr>
      <w:rPr>
        <w:b w:val="0"/>
        <w:i w:val="0"/>
        <w:caps w:val="0"/>
        <w:strike w:val="0"/>
        <w:dstrike w:val="0"/>
        <w:vanish w:val="0"/>
        <w:color w:val="auto"/>
        <w:sz w:val="24"/>
        <w:u w:val="none"/>
        <w:vertAlign w:val="baseline"/>
      </w:rPr>
    </w:lvl>
    <w:lvl w:ilvl="7">
      <w:start w:val="1"/>
      <w:numFmt w:val="none"/>
      <w:pStyle w:val="Heading8"/>
      <w:suff w:val="nothing"/>
      <w:lvlText w:val=""/>
      <w:lvlJc w:val="left"/>
      <w:pPr>
        <w:tabs>
          <w:tab w:val="num" w:pos="5760"/>
        </w:tabs>
        <w:ind w:left="0" w:firstLine="0"/>
      </w:pPr>
      <w:rPr>
        <w:b w:val="0"/>
        <w:i w:val="0"/>
        <w:caps w:val="0"/>
        <w:strike w:val="0"/>
        <w:dstrike w:val="0"/>
        <w:vanish w:val="0"/>
        <w:color w:val="auto"/>
        <w:sz w:val="24"/>
        <w:u w:val="none"/>
        <w:vertAlign w:val="baseline"/>
      </w:rPr>
    </w:lvl>
    <w:lvl w:ilvl="8">
      <w:start w:val="1"/>
      <w:numFmt w:val="none"/>
      <w:pStyle w:val="Heading9"/>
      <w:suff w:val="nothing"/>
      <w:lvlText w:val=""/>
      <w:lvlJc w:val="left"/>
      <w:pPr>
        <w:tabs>
          <w:tab w:val="num" w:pos="6480"/>
        </w:tabs>
        <w:ind w:left="0" w:firstLine="0"/>
      </w:pPr>
      <w:rPr>
        <w:b w:val="0"/>
        <w:i w:val="0"/>
        <w:caps w:val="0"/>
        <w:strike w:val="0"/>
        <w:dstrike w:val="0"/>
        <w:vanish w:val="0"/>
        <w:color w:val="auto"/>
        <w:sz w:val="24"/>
        <w:u w:val="none"/>
        <w:vertAlign w:val="baseline"/>
      </w:rPr>
    </w:lvl>
  </w:abstractNum>
  <w:abstractNum w:abstractNumId="3" w15:restartNumberingAfterBreak="0">
    <w:nsid w:val="37EB6473"/>
    <w:multiLevelType w:val="multilevel"/>
    <w:tmpl w:val="AB0A4D88"/>
    <w:name w:val="Bullet_outlinedc"/>
    <w:lvl w:ilvl="0">
      <w:start w:val="2147483647"/>
      <w:numFmt w:val="bullet"/>
      <w:lvlText w:val="·"/>
      <w:lvlJc w:val="left"/>
      <w:pPr>
        <w:ind w:left="0" w:firstLine="72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95231"/>
    <w:multiLevelType w:val="hybridMultilevel"/>
    <w:tmpl w:val="2786B74A"/>
    <w:name w:val="LN2 ListNumber"/>
    <w:lvl w:ilvl="0" w:tplc="4858A3E6">
      <w:start w:val="1"/>
      <w:numFmt w:val="upperLetter"/>
      <w:pStyle w:val="LN2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
  </w:num>
  <w:num w:numId="5">
    <w:abstractNumId w:val="0"/>
  </w:num>
  <w:num w:numId="6">
    <w:abstractNumId w:val="4"/>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ergel, Chloe">
    <w15:presenceInfo w15:providerId="AD" w15:userId="S::cschmergel@velaw.com::7ba39172-443a-409d-b99a-112693a45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385469"/>
    <w:rsid w:val="00021419"/>
    <w:rsid w:val="000260C1"/>
    <w:rsid w:val="00094AEC"/>
    <w:rsid w:val="000D062E"/>
    <w:rsid w:val="001430E9"/>
    <w:rsid w:val="001671C0"/>
    <w:rsid w:val="001777AA"/>
    <w:rsid w:val="0018784D"/>
    <w:rsid w:val="00196603"/>
    <w:rsid w:val="001A18C6"/>
    <w:rsid w:val="001E613F"/>
    <w:rsid w:val="00235BCD"/>
    <w:rsid w:val="00247343"/>
    <w:rsid w:val="002A54D7"/>
    <w:rsid w:val="002C320D"/>
    <w:rsid w:val="002E4BBC"/>
    <w:rsid w:val="00313940"/>
    <w:rsid w:val="0033188A"/>
    <w:rsid w:val="00385469"/>
    <w:rsid w:val="00415F5F"/>
    <w:rsid w:val="004A43F2"/>
    <w:rsid w:val="004A645E"/>
    <w:rsid w:val="004B2CE3"/>
    <w:rsid w:val="00510FD4"/>
    <w:rsid w:val="005A780F"/>
    <w:rsid w:val="005F2EDC"/>
    <w:rsid w:val="00616213"/>
    <w:rsid w:val="00627CA0"/>
    <w:rsid w:val="00676251"/>
    <w:rsid w:val="006A0C1D"/>
    <w:rsid w:val="006D4A18"/>
    <w:rsid w:val="00700CC6"/>
    <w:rsid w:val="007C46AD"/>
    <w:rsid w:val="008108E5"/>
    <w:rsid w:val="00835C2F"/>
    <w:rsid w:val="00852036"/>
    <w:rsid w:val="008A331C"/>
    <w:rsid w:val="008B0700"/>
    <w:rsid w:val="008B45A4"/>
    <w:rsid w:val="008C56D3"/>
    <w:rsid w:val="008F0529"/>
    <w:rsid w:val="00992880"/>
    <w:rsid w:val="009A1A4B"/>
    <w:rsid w:val="009C1746"/>
    <w:rsid w:val="009D5BAA"/>
    <w:rsid w:val="009D5E2A"/>
    <w:rsid w:val="009D7872"/>
    <w:rsid w:val="00A05A9C"/>
    <w:rsid w:val="00A20DC3"/>
    <w:rsid w:val="00A35F9C"/>
    <w:rsid w:val="00A70068"/>
    <w:rsid w:val="00AE1CC2"/>
    <w:rsid w:val="00AE5CE5"/>
    <w:rsid w:val="00AF29C9"/>
    <w:rsid w:val="00B14AE4"/>
    <w:rsid w:val="00B2106C"/>
    <w:rsid w:val="00B324F8"/>
    <w:rsid w:val="00B4254C"/>
    <w:rsid w:val="00B44E44"/>
    <w:rsid w:val="00B7672F"/>
    <w:rsid w:val="00BA02D1"/>
    <w:rsid w:val="00BB2AAD"/>
    <w:rsid w:val="00BC3156"/>
    <w:rsid w:val="00BC6090"/>
    <w:rsid w:val="00BC7050"/>
    <w:rsid w:val="00BF7468"/>
    <w:rsid w:val="00C06AFF"/>
    <w:rsid w:val="00C94442"/>
    <w:rsid w:val="00CA1A0B"/>
    <w:rsid w:val="00CD3C2E"/>
    <w:rsid w:val="00CF2AB5"/>
    <w:rsid w:val="00CF3DA6"/>
    <w:rsid w:val="00D2319A"/>
    <w:rsid w:val="00D34AA1"/>
    <w:rsid w:val="00D62323"/>
    <w:rsid w:val="00D72495"/>
    <w:rsid w:val="00D76CC1"/>
    <w:rsid w:val="00DA4C3B"/>
    <w:rsid w:val="00E12586"/>
    <w:rsid w:val="00E126AC"/>
    <w:rsid w:val="00E22BFF"/>
    <w:rsid w:val="00E33E30"/>
    <w:rsid w:val="00E426BF"/>
    <w:rsid w:val="00E52010"/>
    <w:rsid w:val="00EA55A2"/>
    <w:rsid w:val="00EB7180"/>
    <w:rsid w:val="00ED69AB"/>
    <w:rsid w:val="00EF4969"/>
    <w:rsid w:val="00F10703"/>
    <w:rsid w:val="00F11924"/>
    <w:rsid w:val="00F23296"/>
    <w:rsid w:val="00F926F1"/>
    <w:rsid w:val="00F94C4F"/>
    <w:rsid w:val="00FA74BD"/>
    <w:rsid w:val="00FC0BE8"/>
    <w:rsid w:val="00FC5C59"/>
    <w:rsid w:val="00FD748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951CB"/>
  <w15:chartTrackingRefBased/>
  <w15:docId w15:val="{04AF4B92-F0DC-4A97-ACAA-7DF7095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50"/>
    <w:pPr>
      <w:spacing w:after="240"/>
      <w:jc w:val="both"/>
    </w:pPr>
    <w:rPr>
      <w:sz w:val="24"/>
    </w:rPr>
  </w:style>
  <w:style w:type="paragraph" w:styleId="Heading1">
    <w:name w:val="heading 1"/>
    <w:basedOn w:val="Normal"/>
    <w:link w:val="Heading1Char"/>
    <w:uiPriority w:val="99"/>
    <w:qFormat/>
    <w:rsid w:val="008A331C"/>
    <w:pPr>
      <w:keepNext/>
      <w:numPr>
        <w:numId w:val="7"/>
      </w:numPr>
      <w:outlineLvl w:val="0"/>
    </w:pPr>
    <w:rPr>
      <w:rFonts w:eastAsiaTheme="majorEastAsia" w:cstheme="majorBidi"/>
      <w:b/>
      <w:szCs w:val="32"/>
    </w:rPr>
  </w:style>
  <w:style w:type="paragraph" w:styleId="Heading2">
    <w:name w:val="heading 2"/>
    <w:basedOn w:val="Normal"/>
    <w:link w:val="Heading2Char"/>
    <w:uiPriority w:val="99"/>
    <w:unhideWhenUsed/>
    <w:qFormat/>
    <w:rsid w:val="00BC7050"/>
    <w:pPr>
      <w:numPr>
        <w:ilvl w:val="1"/>
        <w:numId w:val="7"/>
      </w:numPr>
      <w:outlineLvl w:val="1"/>
    </w:pPr>
    <w:rPr>
      <w:rFonts w:eastAsiaTheme="majorEastAsia" w:cstheme="majorBidi"/>
      <w:szCs w:val="26"/>
    </w:rPr>
  </w:style>
  <w:style w:type="paragraph" w:styleId="Heading3">
    <w:name w:val="heading 3"/>
    <w:basedOn w:val="Normal"/>
    <w:link w:val="Heading3Char"/>
    <w:uiPriority w:val="99"/>
    <w:unhideWhenUsed/>
    <w:qFormat/>
    <w:rsid w:val="00B44E44"/>
    <w:pPr>
      <w:numPr>
        <w:ilvl w:val="2"/>
        <w:numId w:val="7"/>
      </w:numPr>
      <w:outlineLvl w:val="2"/>
    </w:pPr>
    <w:rPr>
      <w:rFonts w:eastAsiaTheme="majorEastAsia" w:cstheme="majorBidi"/>
      <w:i/>
      <w:u w:val="single"/>
    </w:rPr>
  </w:style>
  <w:style w:type="paragraph" w:styleId="Heading4">
    <w:name w:val="heading 4"/>
    <w:basedOn w:val="Normal"/>
    <w:link w:val="Heading4Char"/>
    <w:uiPriority w:val="99"/>
    <w:unhideWhenUsed/>
    <w:qFormat/>
    <w:rsid w:val="00B44E44"/>
    <w:pPr>
      <w:numPr>
        <w:ilvl w:val="3"/>
        <w:numId w:val="7"/>
      </w:numPr>
      <w:outlineLvl w:val="3"/>
    </w:pPr>
    <w:rPr>
      <w:rFonts w:eastAsiaTheme="majorEastAsia" w:cstheme="majorBidi"/>
      <w:iCs/>
    </w:rPr>
  </w:style>
  <w:style w:type="paragraph" w:styleId="Heading5">
    <w:name w:val="heading 5"/>
    <w:basedOn w:val="Normal"/>
    <w:link w:val="Heading5Char"/>
    <w:uiPriority w:val="99"/>
    <w:unhideWhenUsed/>
    <w:qFormat/>
    <w:pPr>
      <w:numPr>
        <w:ilvl w:val="4"/>
        <w:numId w:val="7"/>
      </w:numPr>
      <w:tabs>
        <w:tab w:val="left" w:pos="3600"/>
      </w:tabs>
      <w:outlineLvl w:val="4"/>
    </w:pPr>
    <w:rPr>
      <w:rFonts w:eastAsiaTheme="majorEastAsia" w:cstheme="majorBidi"/>
    </w:rPr>
  </w:style>
  <w:style w:type="paragraph" w:styleId="Heading6">
    <w:name w:val="heading 6"/>
    <w:basedOn w:val="Normal"/>
    <w:link w:val="Heading6Char"/>
    <w:uiPriority w:val="99"/>
    <w:unhideWhenUsed/>
    <w:qFormat/>
    <w:pPr>
      <w:numPr>
        <w:ilvl w:val="5"/>
        <w:numId w:val="7"/>
      </w:numPr>
      <w:tabs>
        <w:tab w:val="left" w:pos="4320"/>
      </w:tabs>
      <w:outlineLvl w:val="5"/>
    </w:pPr>
    <w:rPr>
      <w:rFonts w:eastAsiaTheme="majorEastAsia" w:cstheme="majorBidi"/>
    </w:rPr>
  </w:style>
  <w:style w:type="paragraph" w:styleId="Heading7">
    <w:name w:val="heading 7"/>
    <w:basedOn w:val="Normal"/>
    <w:link w:val="Heading7Char"/>
    <w:uiPriority w:val="99"/>
    <w:unhideWhenUsed/>
    <w:qFormat/>
    <w:pPr>
      <w:numPr>
        <w:ilvl w:val="6"/>
        <w:numId w:val="7"/>
      </w:numPr>
      <w:tabs>
        <w:tab w:val="left" w:pos="5040"/>
      </w:tabs>
      <w:outlineLvl w:val="6"/>
    </w:pPr>
    <w:rPr>
      <w:rFonts w:eastAsiaTheme="majorEastAsia" w:cstheme="majorBidi"/>
      <w:iCs/>
    </w:rPr>
  </w:style>
  <w:style w:type="paragraph" w:styleId="Heading8">
    <w:name w:val="heading 8"/>
    <w:basedOn w:val="Normal"/>
    <w:link w:val="Heading8Char"/>
    <w:uiPriority w:val="99"/>
    <w:unhideWhenUsed/>
    <w:qFormat/>
    <w:pPr>
      <w:numPr>
        <w:ilvl w:val="7"/>
        <w:numId w:val="14"/>
      </w:numPr>
      <w:tabs>
        <w:tab w:val="left" w:pos="5760"/>
      </w:tabs>
      <w:outlineLvl w:val="7"/>
    </w:pPr>
    <w:rPr>
      <w:rFonts w:eastAsiaTheme="majorEastAsia" w:cstheme="majorBidi"/>
      <w:szCs w:val="21"/>
    </w:rPr>
  </w:style>
  <w:style w:type="paragraph" w:styleId="Heading9">
    <w:name w:val="heading 9"/>
    <w:basedOn w:val="Normal"/>
    <w:link w:val="Heading9Char"/>
    <w:uiPriority w:val="99"/>
    <w:unhideWhenUsed/>
    <w:qFormat/>
    <w:pPr>
      <w:numPr>
        <w:ilvl w:val="8"/>
        <w:numId w:val="14"/>
      </w:numPr>
      <w:tabs>
        <w:tab w:val="left" w:pos="6480"/>
      </w:tabs>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odyTextContinued">
    <w:name w:val="Body Text Continued"/>
    <w:basedOn w:val="BodyText"/>
    <w:next w:val="BodyText"/>
  </w:style>
  <w:style w:type="character" w:styleId="PageNumber">
    <w:name w:val="page number"/>
    <w:basedOn w:val="DefaultParagraphFont"/>
    <w:uiPriority w:val="99"/>
    <w:semiHidden/>
    <w:unhideWhenUsed/>
  </w:style>
  <w:style w:type="paragraph" w:styleId="Quote">
    <w:name w:val="Quote"/>
    <w:basedOn w:val="Normal"/>
    <w:next w:val="Normal"/>
    <w:link w:val="QuoteChar"/>
    <w:uiPriority w:val="29"/>
    <w:semiHidden/>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customStyle="1" w:styleId="BLBlock">
    <w:name w:val="BL Block"/>
    <w:basedOn w:val="Normal"/>
    <w:uiPriority w:val="1"/>
    <w:qFormat/>
    <w:pPr>
      <w:ind w:left="1440" w:right="1440"/>
    </w:p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i/>
      <w:iCs/>
      <w:spacing w:val="5"/>
    </w:rPr>
  </w:style>
  <w:style w:type="paragraph" w:customStyle="1" w:styleId="BTBodyText">
    <w:name w:val="BT Body Text"/>
    <w:basedOn w:val="Normal"/>
    <w:uiPriority w:val="1"/>
    <w:qFormat/>
  </w:style>
  <w:style w:type="paragraph" w:customStyle="1" w:styleId="BTDBodyTextDouble">
    <w:name w:val="BTD Body Text Double"/>
    <w:basedOn w:val="Normal"/>
    <w:uiPriority w:val="1"/>
    <w:qFormat/>
    <w:pPr>
      <w:spacing w:after="0" w:line="480" w:lineRule="auto"/>
    </w:pPr>
  </w:style>
  <w:style w:type="paragraph" w:customStyle="1" w:styleId="BTDFLBodyTextDoubleFLI">
    <w:name w:val="BTDFL Body Text Double FLI"/>
    <w:basedOn w:val="Normal"/>
    <w:uiPriority w:val="1"/>
    <w:qFormat/>
    <w:pPr>
      <w:spacing w:after="0" w:line="480" w:lineRule="auto"/>
      <w:ind w:firstLine="720"/>
    </w:pPr>
  </w:style>
  <w:style w:type="paragraph" w:customStyle="1" w:styleId="BTFIBodyTextFirstIndent">
    <w:name w:val="BTFI Body Text First Indent"/>
    <w:basedOn w:val="Normal"/>
    <w:uiPriority w:val="1"/>
    <w:qFormat/>
    <w:pPr>
      <w:ind w:firstLine="720"/>
    </w:pPr>
  </w:style>
  <w:style w:type="paragraph" w:customStyle="1" w:styleId="BTFI2BodyTextFirstIndent10">
    <w:name w:val="BTFI2 Body Text First Indent 1.0"/>
    <w:basedOn w:val="Normal"/>
    <w:uiPriority w:val="1"/>
    <w:qFormat/>
    <w:pPr>
      <w:ind w:firstLine="1440"/>
    </w:pPr>
  </w:style>
  <w:style w:type="paragraph" w:customStyle="1" w:styleId="BTIBodyTextIndent5">
    <w:name w:val="BTI Body Text Indent .5"/>
    <w:basedOn w:val="Normal"/>
    <w:uiPriority w:val="1"/>
    <w:qFormat/>
    <w:pPr>
      <w:ind w:left="720"/>
    </w:pPr>
  </w:style>
  <w:style w:type="paragraph" w:customStyle="1" w:styleId="BTI2BodyTextHangIndent">
    <w:name w:val="BTI2 Body Text Hang Indent"/>
    <w:basedOn w:val="Normal"/>
    <w:uiPriority w:val="1"/>
    <w:qFormat/>
    <w:pPr>
      <w:ind w:left="720" w:hanging="720"/>
    </w:pPr>
  </w:style>
  <w:style w:type="paragraph" w:customStyle="1" w:styleId="BTI3BodyTextIndent10">
    <w:name w:val="BTI3 Body Text Indent 1.0"/>
    <w:basedOn w:val="Normal"/>
    <w:uiPriority w:val="1"/>
    <w:qFormat/>
    <w:pPr>
      <w:ind w:left="1440"/>
    </w:pPr>
  </w:style>
  <w:style w:type="paragraph" w:customStyle="1" w:styleId="BTI4BodyTextIndent15">
    <w:name w:val="BTI4 Body Text Indent 1.5"/>
    <w:basedOn w:val="Normal"/>
    <w:uiPriority w:val="1"/>
    <w:qFormat/>
    <w:pPr>
      <w:ind w:left="2160"/>
    </w:pPr>
  </w:style>
  <w:style w:type="paragraph" w:customStyle="1" w:styleId="BTI5BodyTextIndent20">
    <w:name w:val="BTI5 Body Text Indent 2.0"/>
    <w:basedOn w:val="Normal"/>
    <w:uiPriority w:val="1"/>
    <w:qFormat/>
    <w:pPr>
      <w:ind w:left="2880"/>
    </w:pPr>
  </w:style>
  <w:style w:type="paragraph" w:customStyle="1" w:styleId="BTNSBodyTextNoSpace">
    <w:name w:val="BTNS Body Text No Space"/>
    <w:basedOn w:val="Normal"/>
    <w:uiPriority w:val="1"/>
    <w:qFormat/>
    <w:pPr>
      <w:spacing w:after="0"/>
    </w:p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SCaseStyle">
    <w:name w:val="CS Case Style"/>
    <w:basedOn w:val="Normal"/>
    <w:uiPriority w:val="1"/>
    <w:qFormat/>
    <w:pPr>
      <w:tabs>
        <w:tab w:val="left" w:pos="2160"/>
        <w:tab w:val="center" w:pos="4680"/>
        <w:tab w:val="left" w:pos="6120"/>
        <w:tab w:val="right" w:pos="9360"/>
      </w:tabs>
      <w:spacing w:after="0"/>
    </w:pPr>
  </w:style>
  <w:style w:type="paragraph" w:customStyle="1" w:styleId="CTCenteredText">
    <w:name w:val="CT Centered Text"/>
    <w:basedOn w:val="Normal"/>
    <w:uiPriority w:val="1"/>
    <w:qFormat/>
    <w:pPr>
      <w:jc w:val="center"/>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character" w:customStyle="1" w:styleId="DocID">
    <w:name w:val="DocID"/>
    <w:basedOn w:val="DefaultParagraphFont"/>
    <w:uiPriority w:val="99"/>
    <w:semiHidden/>
    <w:rPr>
      <w:sz w:val="18"/>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9"/>
    <w:rsid w:val="008A331C"/>
    <w:rPr>
      <w:rFonts w:eastAsiaTheme="majorEastAsia" w:cstheme="majorBidi"/>
      <w:b/>
      <w:sz w:val="24"/>
      <w:szCs w:val="32"/>
    </w:rPr>
  </w:style>
  <w:style w:type="character" w:customStyle="1" w:styleId="Heading2Char">
    <w:name w:val="Heading 2 Char"/>
    <w:basedOn w:val="DefaultParagraphFont"/>
    <w:link w:val="Heading2"/>
    <w:uiPriority w:val="99"/>
    <w:rsid w:val="00BC7050"/>
    <w:rPr>
      <w:rFonts w:eastAsiaTheme="majorEastAsia" w:cstheme="majorBidi"/>
      <w:sz w:val="24"/>
      <w:szCs w:val="26"/>
    </w:rPr>
  </w:style>
  <w:style w:type="character" w:customStyle="1" w:styleId="Heading3Char">
    <w:name w:val="Heading 3 Char"/>
    <w:basedOn w:val="DefaultParagraphFont"/>
    <w:link w:val="Heading3"/>
    <w:uiPriority w:val="99"/>
    <w:rsid w:val="00B44E44"/>
    <w:rPr>
      <w:rFonts w:eastAsiaTheme="majorEastAsia" w:cstheme="majorBidi"/>
      <w:i/>
      <w:sz w:val="24"/>
      <w:u w:val="single"/>
    </w:rPr>
  </w:style>
  <w:style w:type="character" w:customStyle="1" w:styleId="Heading4Char">
    <w:name w:val="Heading 4 Char"/>
    <w:basedOn w:val="DefaultParagraphFont"/>
    <w:link w:val="Heading4"/>
    <w:uiPriority w:val="99"/>
    <w:rsid w:val="00B44E44"/>
    <w:rPr>
      <w:rFonts w:eastAsiaTheme="majorEastAsia" w:cstheme="majorBidi"/>
      <w:iCs/>
      <w:sz w:val="24"/>
    </w:rPr>
  </w:style>
  <w:style w:type="character" w:customStyle="1" w:styleId="Heading5Char">
    <w:name w:val="Heading 5 Char"/>
    <w:basedOn w:val="DefaultParagraphFont"/>
    <w:link w:val="Heading5"/>
    <w:uiPriority w:val="99"/>
    <w:rPr>
      <w:rFonts w:eastAsiaTheme="majorEastAsia" w:cstheme="majorBidi"/>
      <w:sz w:val="24"/>
    </w:rPr>
  </w:style>
  <w:style w:type="character" w:customStyle="1" w:styleId="Heading6Char">
    <w:name w:val="Heading 6 Char"/>
    <w:basedOn w:val="DefaultParagraphFont"/>
    <w:link w:val="Heading6"/>
    <w:uiPriority w:val="99"/>
    <w:rPr>
      <w:rFonts w:eastAsiaTheme="majorEastAsia" w:cstheme="majorBidi"/>
      <w:sz w:val="24"/>
    </w:rPr>
  </w:style>
  <w:style w:type="character" w:customStyle="1" w:styleId="Heading7Char">
    <w:name w:val="Heading 7 Char"/>
    <w:basedOn w:val="DefaultParagraphFont"/>
    <w:link w:val="Heading7"/>
    <w:uiPriority w:val="99"/>
    <w:rPr>
      <w:rFonts w:eastAsiaTheme="majorEastAsia" w:cstheme="majorBidi"/>
      <w:iCs/>
      <w:sz w:val="24"/>
    </w:rPr>
  </w:style>
  <w:style w:type="character" w:customStyle="1" w:styleId="Heading8Char">
    <w:name w:val="Heading 8 Char"/>
    <w:basedOn w:val="DefaultParagraphFont"/>
    <w:link w:val="Heading8"/>
    <w:uiPriority w:val="99"/>
    <w:semiHidden/>
    <w:rPr>
      <w:rFonts w:eastAsiaTheme="majorEastAsia" w:cstheme="majorBidi"/>
      <w:sz w:val="24"/>
      <w:szCs w:val="21"/>
    </w:rPr>
  </w:style>
  <w:style w:type="character" w:customStyle="1" w:styleId="Heading9Char">
    <w:name w:val="Heading 9 Char"/>
    <w:basedOn w:val="DefaultParagraphFont"/>
    <w:link w:val="Heading9"/>
    <w:uiPriority w:val="99"/>
    <w:semiHidden/>
    <w:rPr>
      <w:rFonts w:eastAsiaTheme="majorEastAsia" w:cstheme="majorBidi"/>
      <w:iCs/>
      <w:sz w:val="24"/>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i/>
      <w:iCs/>
      <w:color w:val="5B9BD5" w:themeColor="accent1"/>
    </w:rPr>
  </w:style>
  <w:style w:type="paragraph" w:styleId="IntenseQuote">
    <w:name w:val="Intense Quote"/>
    <w:basedOn w:val="Normal"/>
    <w:next w:val="Normal"/>
    <w:link w:val="IntenseQuoteChar"/>
    <w:uiPriority w:val="30"/>
    <w:semiHidden/>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Pr>
      <w:i/>
      <w:iCs/>
      <w:color w:val="5B9BD5" w:themeColor="accent1"/>
    </w:rPr>
  </w:style>
  <w:style w:type="character" w:styleId="IntenseReference">
    <w:name w:val="Intense Reference"/>
    <w:basedOn w:val="DefaultParagraphFont"/>
    <w:uiPriority w:val="32"/>
    <w:semiHidden/>
    <w:qFormat/>
    <w:rPr>
      <w:b/>
      <w:bCs/>
      <w:smallCaps/>
      <w:color w:val="5B9BD5" w:themeColor="accent1"/>
      <w:spacing w:val="5"/>
    </w:rPr>
  </w:style>
  <w:style w:type="paragraph" w:customStyle="1" w:styleId="LBListBullet">
    <w:name w:val="LB ListBullet"/>
    <w:basedOn w:val="Normal"/>
    <w:autoRedefine/>
    <w:uiPriority w:val="1"/>
    <w:qFormat/>
    <w:rsid w:val="00BC3156"/>
    <w:pPr>
      <w:numPr>
        <w:numId w:val="1"/>
      </w:numPr>
      <w:ind w:left="2880"/>
    </w:pPr>
  </w:style>
  <w:style w:type="character" w:styleId="LineNumber">
    <w:name w:val="line number"/>
    <w:basedOn w:val="DefaultParagraphFont"/>
    <w:uiPriority w:val="99"/>
    <w:semiHidden/>
    <w:unhideWhenUsed/>
  </w:style>
  <w:style w:type="paragraph" w:customStyle="1" w:styleId="LN1ListNumber">
    <w:name w:val="LN1 ListNumber"/>
    <w:basedOn w:val="Normal"/>
    <w:uiPriority w:val="1"/>
    <w:qFormat/>
    <w:pPr>
      <w:numPr>
        <w:numId w:val="5"/>
      </w:numPr>
    </w:pPr>
  </w:style>
  <w:style w:type="paragraph" w:customStyle="1" w:styleId="LN2ListNumber">
    <w:name w:val="LN2 ListNumber"/>
    <w:basedOn w:val="Normal"/>
    <w:uiPriority w:val="1"/>
    <w:qFormat/>
    <w:pPr>
      <w:numPr>
        <w:numId w:val="6"/>
      </w:numPr>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emiHidden/>
    <w:qFormat/>
    <w:pPr>
      <w:jc w:val="both"/>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Q5BodyTextQuote5">
    <w:name w:val="Q.5 Body Text Quote.5"/>
    <w:basedOn w:val="Normal"/>
    <w:uiPriority w:val="1"/>
    <w:qFormat/>
    <w:pPr>
      <w:ind w:left="720" w:right="720"/>
    </w:pPr>
  </w:style>
  <w:style w:type="paragraph" w:customStyle="1" w:styleId="Q1BodyTextQuote1">
    <w:name w:val="Q1 Body Text Quote 1"/>
    <w:basedOn w:val="Normal"/>
    <w:uiPriority w:val="1"/>
    <w:qFormat/>
    <w:pPr>
      <w:ind w:left="1440" w:right="1440"/>
    </w:p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customStyle="1" w:styleId="SBBSignatureBlockBoth">
    <w:name w:val="SBB Signature Block Both"/>
    <w:basedOn w:val="Normal"/>
    <w:uiPriority w:val="1"/>
    <w:qFormat/>
    <w:pPr>
      <w:tabs>
        <w:tab w:val="left" w:pos="1080"/>
        <w:tab w:val="right" w:leader="underscore" w:pos="4320"/>
        <w:tab w:val="left" w:pos="6120"/>
        <w:tab w:val="right" w:leader="underscore" w:pos="9360"/>
      </w:tabs>
      <w:spacing w:after="0"/>
    </w:pPr>
  </w:style>
  <w:style w:type="paragraph" w:customStyle="1" w:styleId="SBLSignatureBlockLeft">
    <w:name w:val="SBL Signature Block Left"/>
    <w:basedOn w:val="Normal"/>
    <w:uiPriority w:val="1"/>
    <w:qFormat/>
    <w:pPr>
      <w:tabs>
        <w:tab w:val="left" w:pos="1080"/>
        <w:tab w:val="right" w:leader="underscore" w:pos="4320"/>
      </w:tabs>
      <w:spacing w:after="0"/>
    </w:pPr>
  </w:style>
  <w:style w:type="paragraph" w:customStyle="1" w:styleId="SBRSignatureBlockRight">
    <w:name w:val="SBR Signature Block Right"/>
    <w:basedOn w:val="Normal"/>
    <w:uiPriority w:val="1"/>
    <w:qFormat/>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pPr>
      <w:tabs>
        <w:tab w:val="left" w:pos="1080"/>
        <w:tab w:val="left" w:pos="6120"/>
      </w:tabs>
      <w:spacing w:after="0"/>
      <w:jc w:val="left"/>
    </w:p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qFormat/>
    <w:rPr>
      <w:b/>
      <w:bCs/>
    </w:rPr>
  </w:style>
  <w:style w:type="paragraph" w:customStyle="1" w:styleId="SUSubtitle">
    <w:name w:val="SU Subtitle"/>
    <w:basedOn w:val="Normal"/>
    <w:next w:val="BTBodyText"/>
    <w:uiPriority w:val="1"/>
    <w:qFormat/>
    <w:pPr>
      <w:keepNext/>
      <w:jc w:val="center"/>
      <w:outlineLvl w:val="1"/>
    </w:pPr>
    <w:rPr>
      <w:b/>
    </w:rPr>
  </w:style>
  <w:style w:type="paragraph" w:styleId="Subtitle">
    <w:name w:val="Subtitle"/>
    <w:basedOn w:val="Normal"/>
    <w:next w:val="Normal"/>
    <w:link w:val="SubtitleChar"/>
    <w:uiPriority w:val="11"/>
    <w:semiHidden/>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semiHidden/>
    <w:qFormat/>
    <w:rPr>
      <w:i/>
      <w:iCs/>
      <w:color w:val="404040" w:themeColor="text1" w:themeTint="BF"/>
    </w:rPr>
  </w:style>
  <w:style w:type="character" w:styleId="SubtleReference">
    <w:name w:val="Subtle Reference"/>
    <w:basedOn w:val="DefaultParagraphFont"/>
    <w:uiPriority w:val="31"/>
    <w:semiHidden/>
    <w:qFormat/>
    <w:rPr>
      <w:smallCaps/>
      <w:color w:val="5A5A5A" w:themeColor="text1" w:themeTint="A5"/>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customStyle="1" w:styleId="TBCTitleBoldCenter">
    <w:name w:val="TBC Title Bold Center"/>
    <w:basedOn w:val="Normal"/>
    <w:next w:val="Normal"/>
    <w:uiPriority w:val="2"/>
    <w:qFormat/>
    <w:pPr>
      <w:keepNext/>
      <w:jc w:val="center"/>
      <w:outlineLvl w:val="0"/>
    </w:pPr>
    <w:rPr>
      <w:b/>
    </w:rPr>
  </w:style>
  <w:style w:type="paragraph" w:customStyle="1" w:styleId="TBCUTitleBoldCenterUnderline">
    <w:name w:val="TBCU Title Bold Center Underline"/>
    <w:basedOn w:val="Normal"/>
    <w:next w:val="Normal"/>
    <w:uiPriority w:val="2"/>
    <w:qFormat/>
    <w:pPr>
      <w:keepNext/>
      <w:jc w:val="center"/>
      <w:outlineLvl w:val="0"/>
    </w:pPr>
    <w:rPr>
      <w:b/>
      <w:u w:val="single"/>
    </w:rPr>
  </w:style>
  <w:style w:type="paragraph" w:customStyle="1" w:styleId="TITitle">
    <w:name w:val="TI Title"/>
    <w:basedOn w:val="Normal"/>
    <w:next w:val="Normal"/>
    <w:uiPriority w:val="2"/>
    <w:qFormat/>
    <w:pPr>
      <w:keepNext/>
      <w:jc w:val="center"/>
    </w:pPr>
    <w:rPr>
      <w:b/>
      <w:kern w:val="28"/>
      <w:sz w:val="28"/>
    </w:rPr>
  </w:style>
  <w:style w:type="paragraph" w:styleId="Title">
    <w:name w:val="Title"/>
    <w:basedOn w:val="Normal"/>
    <w:next w:val="Normal"/>
    <w:link w:val="TitleChar"/>
    <w:uiPriority w:val="10"/>
    <w:semiHidden/>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spacing w:before="240"/>
      <w:outlineLvl w:val="9"/>
    </w:pPr>
    <w:rPr>
      <w:rFonts w:asciiTheme="majorHAnsi" w:hAnsiTheme="majorHAnsi"/>
      <w:color w:val="2E74B5" w:themeColor="accent1" w:themeShade="BF"/>
      <w:sz w:val="32"/>
    </w:rPr>
  </w:style>
  <w:style w:type="paragraph" w:customStyle="1" w:styleId="StyleHeading2Bold">
    <w:name w:val="Style Heading 2 + Bold"/>
    <w:basedOn w:val="Heading2"/>
    <w:rsid w:val="008A331C"/>
    <w:pPr>
      <w:keepNext/>
    </w:pPr>
    <w:rPr>
      <w:b/>
      <w:bCs/>
    </w:rPr>
  </w:style>
  <w:style w:type="paragraph" w:customStyle="1" w:styleId="StyleHeading2Bold1">
    <w:name w:val="Style Heading 2 + Bold1"/>
    <w:basedOn w:val="Heading2"/>
    <w:rsid w:val="008A331C"/>
    <w:pPr>
      <w:keepNext/>
    </w:pPr>
    <w:rPr>
      <w:b/>
      <w:bCs/>
    </w:rPr>
  </w:style>
  <w:style w:type="paragraph" w:styleId="Revision">
    <w:name w:val="Revision"/>
    <w:hidden/>
    <w:uiPriority w:val="99"/>
    <w:semiHidden/>
    <w:rsid w:val="009928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1463">
      <w:bodyDiv w:val="1"/>
      <w:marLeft w:val="0"/>
      <w:marRight w:val="0"/>
      <w:marTop w:val="0"/>
      <w:marBottom w:val="0"/>
      <w:divBdr>
        <w:top w:val="none" w:sz="0" w:space="0" w:color="auto"/>
        <w:left w:val="none" w:sz="0" w:space="0" w:color="auto"/>
        <w:bottom w:val="none" w:sz="0" w:space="0" w:color="auto"/>
        <w:right w:val="none" w:sz="0" w:space="0" w:color="auto"/>
      </w:divBdr>
    </w:div>
    <w:div w:id="224921792">
      <w:bodyDiv w:val="1"/>
      <w:marLeft w:val="0"/>
      <w:marRight w:val="0"/>
      <w:marTop w:val="0"/>
      <w:marBottom w:val="0"/>
      <w:divBdr>
        <w:top w:val="none" w:sz="0" w:space="0" w:color="auto"/>
        <w:left w:val="none" w:sz="0" w:space="0" w:color="auto"/>
        <w:bottom w:val="none" w:sz="0" w:space="0" w:color="auto"/>
        <w:right w:val="none" w:sz="0" w:space="0" w:color="auto"/>
      </w:divBdr>
    </w:div>
    <w:div w:id="543375435">
      <w:bodyDiv w:val="1"/>
      <w:marLeft w:val="0"/>
      <w:marRight w:val="0"/>
      <w:marTop w:val="0"/>
      <w:marBottom w:val="0"/>
      <w:divBdr>
        <w:top w:val="none" w:sz="0" w:space="0" w:color="auto"/>
        <w:left w:val="none" w:sz="0" w:space="0" w:color="auto"/>
        <w:bottom w:val="none" w:sz="0" w:space="0" w:color="auto"/>
        <w:right w:val="none" w:sz="0" w:space="0" w:color="auto"/>
      </w:divBdr>
    </w:div>
    <w:div w:id="646740372">
      <w:bodyDiv w:val="1"/>
      <w:marLeft w:val="0"/>
      <w:marRight w:val="0"/>
      <w:marTop w:val="0"/>
      <w:marBottom w:val="0"/>
      <w:divBdr>
        <w:top w:val="none" w:sz="0" w:space="0" w:color="auto"/>
        <w:left w:val="none" w:sz="0" w:space="0" w:color="auto"/>
        <w:bottom w:val="none" w:sz="0" w:space="0" w:color="auto"/>
        <w:right w:val="none" w:sz="0" w:space="0" w:color="auto"/>
      </w:divBdr>
    </w:div>
    <w:div w:id="1333990460">
      <w:bodyDiv w:val="1"/>
      <w:marLeft w:val="0"/>
      <w:marRight w:val="0"/>
      <w:marTop w:val="0"/>
      <w:marBottom w:val="0"/>
      <w:divBdr>
        <w:top w:val="none" w:sz="0" w:space="0" w:color="auto"/>
        <w:left w:val="none" w:sz="0" w:space="0" w:color="auto"/>
        <w:bottom w:val="none" w:sz="0" w:space="0" w:color="auto"/>
        <w:right w:val="none" w:sz="0" w:space="0" w:color="auto"/>
      </w:divBdr>
    </w:div>
    <w:div w:id="1735735540">
      <w:bodyDiv w:val="1"/>
      <w:marLeft w:val="0"/>
      <w:marRight w:val="0"/>
      <w:marTop w:val="0"/>
      <w:marBottom w:val="0"/>
      <w:divBdr>
        <w:top w:val="none" w:sz="0" w:space="0" w:color="auto"/>
        <w:left w:val="none" w:sz="0" w:space="0" w:color="auto"/>
        <w:bottom w:val="none" w:sz="0" w:space="0" w:color="auto"/>
        <w:right w:val="none" w:sz="0" w:space="0" w:color="auto"/>
      </w:divBdr>
    </w:div>
    <w:div w:id="17612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A802-57D5-4F7E-9567-8B293E99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Cunningham</dc:creator>
  <cp:lastModifiedBy>Fiorillo, Matt</cp:lastModifiedBy>
  <cp:revision>4</cp:revision>
  <dcterms:created xsi:type="dcterms:W3CDTF">2022-06-29T20:00:00Z</dcterms:created>
  <dcterms:modified xsi:type="dcterms:W3CDTF">2022-06-29T20:01:00Z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8983794</vt:lpwstr>
  </property>
  <property fmtid="{D5CDD505-2E9C-101B-9397-08002B2CF9AE}" pid="3" name="DocumentVersion">
    <vt:lpwstr>5</vt:lpwstr>
  </property>
  <property fmtid="{D5CDD505-2E9C-101B-9397-08002B2CF9AE}" pid="4" name="ClientNumber">
    <vt:lpwstr>OAS495</vt:lpwstr>
  </property>
  <property fmtid="{D5CDD505-2E9C-101B-9397-08002B2CF9AE}" pid="5" name="MatterNumber">
    <vt:lpwstr>67000</vt:lpwstr>
  </property>
  <property fmtid="{D5CDD505-2E9C-101B-9397-08002B2CF9AE}" pid="6" name="ClientName">
    <vt:lpwstr>Oasis Petroleum LLC</vt:lpwstr>
  </property>
  <property fmtid="{D5CDD505-2E9C-101B-9397-08002B2CF9AE}" pid="7" name="MatterName">
    <vt:lpwstr>Governance</vt:lpwstr>
  </property>
  <property fmtid="{D5CDD505-2E9C-101B-9397-08002B2CF9AE}" pid="8" name="DatabaseName">
    <vt:lpwstr>US</vt:lpwstr>
  </property>
  <property fmtid="{D5CDD505-2E9C-101B-9397-08002B2CF9AE}" pid="9" name="TypistName">
    <vt:lpwstr>642182</vt:lpwstr>
  </property>
  <property fmtid="{D5CDD505-2E9C-101B-9397-08002B2CF9AE}" pid="10" name="AuthorName">
    <vt:lpwstr>643249</vt:lpwstr>
  </property>
  <property fmtid="{D5CDD505-2E9C-101B-9397-08002B2CF9AE}" pid="11" name="InUseBy">
    <vt:lpwstr>642182</vt:lpwstr>
  </property>
  <property fmtid="{D5CDD505-2E9C-101B-9397-08002B2CF9AE}" pid="12" name="EditDate">
    <vt:lpwstr>6/29/2022 8:00:58 PM</vt:lpwstr>
  </property>
  <property fmtid="{D5CDD505-2E9C-101B-9397-08002B2CF9AE}" pid="13" name="EditTime">
    <vt:lpwstr/>
  </property>
  <property fmtid="{D5CDD505-2E9C-101B-9397-08002B2CF9AE}" pid="14" name="DocID">
    <vt:lpwstr>US 8983794v.4</vt:lpwstr>
  </property>
</Properties>
</file>